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Прогнозу социально-экономического развития 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 МО  на 2024 год и плановый период 2025 и 2026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2F" w:rsidRPr="00FD4D13" w:rsidRDefault="0093512F" w:rsidP="0093512F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показателей социально-экономического развития Соцземледельского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на 2024 год и плановый период 2025 и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разработан в соответствии с требованиями 173 статьи Бюджетного Кодекса Российской Федерации, Порядком разработки прогноза социально-экономического развития Соцземледельского муниципального образования, утверждённым постановлением администрации Соцземледельского муниципального образования от 20.12.2021 № 36-п «Об утверждении порядка разработки прогноза социально-экономического развития Соцземледельского муниципального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на 2022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 и плановый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2023и 2024 г.г.».</w:t>
      </w:r>
    </w:p>
    <w:p w:rsidR="0093512F" w:rsidRPr="00FD4D13" w:rsidRDefault="0093512F" w:rsidP="0093512F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Прогноз подготовлен администрацией на основе анализа сложившейся ситуации и тенденций развития муниципального образования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Соцземледельского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прогноза социально-экономического развития Соцземледельского муниципального образования использованы:</w:t>
      </w:r>
      <w:proofErr w:type="gramEnd"/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- данные статистики;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 данные администрации Соцземледельского 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образования;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93512F" w:rsidRPr="00FD4D13" w:rsidRDefault="0093512F" w:rsidP="0093512F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Население: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Числен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населения на 1 января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1151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к, ожидаемая численность в  2024 году - 1130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прогнозу на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численность  населения в поселении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составить 1115 человек. К 2026 году — 1100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В демографической ситуации прогнозируется дальнейшая естественная убыл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ь.  За 10 месяцев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показатель смертности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 показателя рождаемости в 5 раз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протяжении нескольких лет численность населения имеет  тенденцию к  снижению.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связи с </w:t>
      </w:r>
      <w:r w:rsidRPr="00FD4D1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FD4D1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демографическая ситуация и миграция населения в поисках работы  за пределы области, что влияет на отток </w:t>
      </w:r>
      <w:r w:rsidRPr="00FD4D1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рабочей силы в поселении.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Социально-экономическое развитие поселения: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Крупных предприятий промышленности на территории поселения нет.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На территории  Соцземледельского МО осуществляют свою деятельность 12 ИП КФХ, ООО «Земледелец-2002»,  которые специализируются на выращивании зерновых культур. Сфера их деятельности  оказывает значительное  влияние  на пополнение бюджета Соцземледельского МО.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увеличение количества предприятий не ожидается.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По виду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«Строительство»  работы в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не планируются.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Потребительский рынок: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Население поселения обеспечено всеми видами товаров. Крупных торговых предприятий на территории поселения нет. Из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редприятий малого бизнеса 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работают 6  торговых точек.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По прогноз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количество торговых точек не изменится.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Социальная сфера: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Из объектов социальной сферы на территории поселения расположены: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- 1 школа в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-1 детский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МОУ СОШ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-дом культуры в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-2 библиотеки в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с.Львовка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-2 фельдшерско-акушерских пункта в 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ьвовка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п.Соцземледельский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-1 почтовое отделение в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оцземледельском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школе поселения обучается 78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ученик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 и 17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детей посещают дошкольное учреждение. 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2023-2025 годах планируется, что численность учащихся, посещающих 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бразовательные учреждения (школу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численно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сть детей, посещающих учреждение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будет несущественно, 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уменьшаться.</w:t>
      </w:r>
      <w:proofErr w:type="gramEnd"/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Жилищно-коммунальное хозяйство: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работают следующие организации жилищно-хозяйственного комплекса: СОПК «Родник-С» и слесарь «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Межрайгаза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», обеспечивающие в полной мере услуги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-, газоснабжения.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Строительства многоквартирных и индивидуаль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жилых домов в период до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не планируется. 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Транспорт: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проезда до районного центра населению организована работа рейсового автобуса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Львовка-Балашов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(через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оцземледельский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). 1 автобус ИП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Глухов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Ю.В.., количество рейсов –ежедневно 1 раз в день.</w:t>
      </w: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Прогнозные доходы 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расходы местного бюджета на 2024-2026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годы.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Финансы: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>Проектом  предлагается  утвердить  основные  характеристики бюджета мун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иципального образования на  2024-2026</w:t>
      </w: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годы: 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г.: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общий объем доходов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7 708,1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7 708,1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дефицит бюджета в размере   0  </w:t>
      </w:r>
      <w:r w:rsidRPr="00FD4D1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тыс. рублей.</w:t>
      </w:r>
      <w:r w:rsidRPr="00FD4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2025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г.:  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объем доходов :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4227,4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ублей;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 4137,4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2026</w:t>
      </w:r>
      <w:r w:rsidRPr="00FD4D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г.: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общий объем доходов :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4872,2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>ублей;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расходов –  4675,0</w:t>
      </w:r>
      <w:r w:rsidRPr="00FD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93512F" w:rsidRPr="00FD4D13" w:rsidRDefault="0093512F" w:rsidP="00935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93512F" w:rsidRPr="00FD4D13" w:rsidRDefault="0093512F" w:rsidP="00935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 в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379,4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 руб. ;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407,9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438,4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Уменьшение по отношению к 2023 г.составит  112,7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</w:t>
      </w:r>
    </w:p>
    <w:p w:rsidR="0093512F" w:rsidRPr="00FD4D13" w:rsidRDefault="0093512F" w:rsidP="00935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поступления налога в 2021-2022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 ожидаемое поступление 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 на имущество составит в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204,1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(по форме 5МН МРИ ФНС за 2022 год). ; в 2025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151 тыс.руб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Уменьшение по отношению к 2023 г. составит 87,9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3.Планируемый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земельный налог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поступле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 в 2021-2022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г.г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 ожидаемое поступление в 2023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а также с учетом  новых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стровых оценок  составит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1599,3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 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1430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тыс.руб.; в 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1430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Увеличение по отношению к 2023 г.составит 115,9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4. Планируемый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464,6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492,5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тыс.руб.; в 2026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522,1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 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 по отношению к 2023 г. составит 176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Планируемый 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поступлений от 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местного самоуправления  на 2024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 составит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6,0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уб.; в 2025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тыс.руб.; в 2026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тыс.руб.  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Поступление доходов 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929,6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в 2025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949,7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тыс.руб.; в 2026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1280,7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7. Поступления 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 доходы от продажи муниципального имущества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не запланированы.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 8..Прочие доходы-</w:t>
      </w:r>
      <w:r w:rsidRPr="00FD4D13">
        <w:rPr>
          <w:rFonts w:ascii="Times New Roman" w:eastAsia="Times New Roman" w:hAnsi="Times New Roman"/>
          <w:b/>
          <w:sz w:val="24"/>
          <w:szCs w:val="24"/>
          <w:lang w:eastAsia="ru-RU"/>
        </w:rPr>
        <w:t>0,0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ИТОГО прогнозируемые налоговые доходы составят: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3583,0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2025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г.-  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3437,1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2026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г.- 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3828,2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включают: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FD4D13">
        <w:rPr>
          <w:rFonts w:ascii="Times New Roman" w:hAnsi="Times New Roman"/>
          <w:bCs/>
          <w:sz w:val="24"/>
          <w:szCs w:val="28"/>
        </w:rPr>
        <w:t>дотации бюджетам сельских поселений на выравнивание</w:t>
      </w:r>
      <w:r>
        <w:rPr>
          <w:rFonts w:ascii="Times New Roman" w:hAnsi="Times New Roman"/>
          <w:bCs/>
          <w:sz w:val="24"/>
          <w:szCs w:val="28"/>
        </w:rPr>
        <w:t xml:space="preserve"> бюджетной обеспеченности в 2024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 xml:space="preserve">68,6 </w:t>
      </w:r>
      <w:r>
        <w:rPr>
          <w:rFonts w:ascii="Times New Roman" w:hAnsi="Times New Roman"/>
          <w:bCs/>
          <w:sz w:val="24"/>
          <w:szCs w:val="28"/>
        </w:rPr>
        <w:t>тыс</w:t>
      </w:r>
      <w:proofErr w:type="gramStart"/>
      <w:r>
        <w:rPr>
          <w:rFonts w:ascii="Times New Roman" w:hAnsi="Times New Roman"/>
          <w:bCs/>
          <w:sz w:val="24"/>
          <w:szCs w:val="28"/>
        </w:rPr>
        <w:t>.р</w:t>
      </w:r>
      <w:proofErr w:type="gramEnd"/>
      <w:r>
        <w:rPr>
          <w:rFonts w:ascii="Times New Roman" w:hAnsi="Times New Roman"/>
          <w:bCs/>
          <w:sz w:val="24"/>
          <w:szCs w:val="28"/>
        </w:rPr>
        <w:t>уб.; в 2025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>72,7</w:t>
      </w:r>
      <w:r w:rsidRPr="00FD4D13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тыс.руб., в 2026</w:t>
      </w:r>
      <w:r w:rsidRPr="00FD4D13">
        <w:rPr>
          <w:rFonts w:ascii="Times New Roman" w:hAnsi="Times New Roman"/>
          <w:bCs/>
          <w:sz w:val="24"/>
          <w:szCs w:val="28"/>
        </w:rPr>
        <w:t>г.-</w:t>
      </w:r>
      <w:r>
        <w:rPr>
          <w:rFonts w:ascii="Times New Roman" w:hAnsi="Times New Roman"/>
          <w:b/>
          <w:bCs/>
          <w:sz w:val="24"/>
          <w:szCs w:val="28"/>
        </w:rPr>
        <w:t>76,2</w:t>
      </w:r>
      <w:r w:rsidRPr="00FD4D13">
        <w:rPr>
          <w:rFonts w:ascii="Times New Roman" w:hAnsi="Times New Roman"/>
          <w:bCs/>
          <w:sz w:val="24"/>
          <w:szCs w:val="28"/>
        </w:rPr>
        <w:t xml:space="preserve"> тыс.руб.</w:t>
      </w:r>
    </w:p>
    <w:p w:rsidR="0093512F" w:rsidRPr="00394876" w:rsidRDefault="0093512F" w:rsidP="0093512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-субвенция бюджетам сельских поселений на осуществление первичного воинского учета на       территориях, где отсутствуют военные комиссариаты  на 2023  год 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0,0   </w:t>
      </w:r>
      <w:proofErr w:type="spellStart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</w:t>
      </w:r>
      <w:proofErr w:type="spellEnd"/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на 2024г.-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0,0 тыс.руб.., </w:t>
      </w:r>
      <w:r w:rsidRPr="00FD4D13">
        <w:rPr>
          <w:rFonts w:ascii="Times New Roman" w:eastAsia="Times New Roman" w:hAnsi="Times New Roman"/>
          <w:bCs/>
          <w:sz w:val="24"/>
          <w:szCs w:val="24"/>
          <w:lang w:eastAsia="ru-RU"/>
        </w:rPr>
        <w:t>на 2025г.-</w:t>
      </w:r>
      <w:r w:rsidRPr="00FD4D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0,0 тыс.руб.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FD4D13">
        <w:rPr>
          <w:rFonts w:ascii="Times New Roman" w:hAnsi="Times New Roman"/>
          <w:sz w:val="24"/>
          <w:szCs w:val="28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>
        <w:rPr>
          <w:rFonts w:ascii="Times New Roman" w:eastAsia="Times New Roman" w:hAnsi="Times New Roman"/>
          <w:szCs w:val="24"/>
          <w:lang w:eastAsia="ru-RU"/>
        </w:rPr>
        <w:t xml:space="preserve"> на 2024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3354</w:t>
      </w:r>
      <w:r w:rsidRPr="00FD4D13">
        <w:rPr>
          <w:rFonts w:ascii="Times New Roman" w:eastAsia="Times New Roman" w:hAnsi="Times New Roman"/>
          <w:b/>
          <w:szCs w:val="24"/>
          <w:u w:val="single"/>
          <w:lang w:eastAsia="ru-RU"/>
        </w:rPr>
        <w:t>,0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 xml:space="preserve"> тыс. </w:t>
      </w:r>
      <w:proofErr w:type="spellStart"/>
      <w:r w:rsidRPr="00FD4D13">
        <w:rPr>
          <w:rFonts w:ascii="Times New Roman" w:eastAsia="Times New Roman" w:hAnsi="Times New Roman"/>
          <w:b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; на 2025 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>0,0</w:t>
      </w:r>
      <w:r>
        <w:rPr>
          <w:rFonts w:ascii="Times New Roman" w:eastAsia="Times New Roman" w:hAnsi="Times New Roman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уб., на 2026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>0,0</w:t>
      </w:r>
      <w:r w:rsidRPr="00FD4D13">
        <w:rPr>
          <w:rFonts w:ascii="Times New Roman" w:eastAsia="Times New Roman" w:hAnsi="Times New Roman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Cs w:val="24"/>
          <w:lang w:eastAsia="ru-RU"/>
        </w:rPr>
        <w:t>;</w:t>
      </w: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-иные межбюджетные трансферты: на 2024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702,5</w:t>
      </w:r>
      <w:r w:rsidRPr="00FD4D13">
        <w:rPr>
          <w:rFonts w:ascii="Times New Roman" w:eastAsia="Times New Roman" w:hAnsi="Times New Roman"/>
          <w:b/>
          <w:szCs w:val="24"/>
          <w:lang w:eastAsia="ru-RU"/>
        </w:rPr>
        <w:t xml:space="preserve"> тыс. </w:t>
      </w:r>
      <w:proofErr w:type="spellStart"/>
      <w:r w:rsidRPr="00FD4D13">
        <w:rPr>
          <w:rFonts w:ascii="Times New Roman" w:eastAsia="Times New Roman" w:hAnsi="Times New Roman"/>
          <w:b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; на 2025 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lang w:eastAsia="ru-RU"/>
        </w:rPr>
        <w:t>717,6</w:t>
      </w:r>
      <w:r>
        <w:rPr>
          <w:rFonts w:ascii="Times New Roman" w:eastAsia="Times New Roman" w:hAnsi="Times New Roman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уб., на 2026</w:t>
      </w:r>
      <w:r w:rsidRPr="00FD4D13">
        <w:rPr>
          <w:rFonts w:ascii="Times New Roman" w:eastAsia="Times New Roman" w:hAnsi="Times New Roman"/>
          <w:szCs w:val="24"/>
          <w:lang w:eastAsia="ru-RU"/>
        </w:rPr>
        <w:t>г.-</w:t>
      </w:r>
      <w:r>
        <w:rPr>
          <w:rFonts w:ascii="Times New Roman" w:eastAsia="Times New Roman" w:hAnsi="Times New Roman"/>
          <w:b/>
          <w:szCs w:val="24"/>
          <w:lang w:eastAsia="ru-RU"/>
        </w:rPr>
        <w:t>967,8</w:t>
      </w:r>
      <w:r w:rsidRPr="00FD4D13">
        <w:rPr>
          <w:rFonts w:ascii="Times New Roman" w:eastAsia="Times New Roman" w:hAnsi="Times New Roman"/>
          <w:szCs w:val="24"/>
          <w:lang w:eastAsia="ru-RU"/>
        </w:rPr>
        <w:t xml:space="preserve"> тыс.руб.</w:t>
      </w:r>
      <w:r>
        <w:rPr>
          <w:rFonts w:ascii="Times New Roman" w:eastAsia="Times New Roman" w:hAnsi="Times New Roman"/>
          <w:szCs w:val="24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ИТОГО Безвозмездные поступления составят: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2024  год – 4125,1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тыс. руб.;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2025год- 790,3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2026год-1044,0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ВСЕГО ДОХОДНАЯ ЧАСТЬ составит: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2024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7708,1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 </w:t>
      </w:r>
      <w:proofErr w:type="spell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</w:t>
      </w:r>
      <w:proofErr w:type="spell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2025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год-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4227,4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уб.;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 xml:space="preserve">                            2026 </w:t>
      </w:r>
      <w:r w:rsidRPr="00FD4D13">
        <w:rPr>
          <w:rFonts w:ascii="Times New Roman" w:eastAsia="Times New Roman" w:hAnsi="Times New Roman"/>
          <w:b/>
          <w:i/>
          <w:sz w:val="36"/>
          <w:szCs w:val="24"/>
          <w:lang w:eastAsia="ru-RU"/>
        </w:rPr>
        <w:t>год-</w:t>
      </w:r>
      <w:r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4872,2</w:t>
      </w:r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i/>
          <w:sz w:val="36"/>
          <w:szCs w:val="24"/>
          <w:u w:val="single"/>
          <w:lang w:eastAsia="ru-RU"/>
        </w:rPr>
        <w:t>уб.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i/>
          <w:sz w:val="36"/>
          <w:szCs w:val="28"/>
          <w:u w:val="single"/>
          <w:lang w:eastAsia="ru-RU"/>
        </w:rPr>
        <w:t>Расходная часть бюджета Соцземледельского МО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расходных обязатель</w:t>
      </w:r>
      <w:proofErr w:type="gramStart"/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ств в пр</w:t>
      </w:r>
      <w:proofErr w:type="gramEnd"/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оекте бюдж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ета Соцземледельского МО на 2024-2026  </w:t>
      </w:r>
      <w:r w:rsidRPr="00FD4D13">
        <w:rPr>
          <w:rFonts w:ascii="Times New Roman" w:eastAsia="Times New Roman" w:hAnsi="Times New Roman"/>
          <w:sz w:val="28"/>
          <w:szCs w:val="24"/>
          <w:lang w:eastAsia="ru-RU"/>
        </w:rPr>
        <w:t>годы прогнозируется в размере;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2024г.-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7708,1</w:t>
      </w:r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уб.;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2025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-4137,4 </w:t>
      </w:r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 тыс</w:t>
      </w:r>
      <w:proofErr w:type="gramStart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FD4D13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уб.;</w:t>
      </w:r>
    </w:p>
    <w:p w:rsidR="0093512F" w:rsidRPr="00FD4D13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2026</w:t>
      </w:r>
      <w:r w:rsidRPr="00FD4D13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- 4 675,0  </w:t>
      </w:r>
      <w:proofErr w:type="spellStart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</w:t>
      </w:r>
      <w:proofErr w:type="spellEnd"/>
    </w:p>
    <w:p w:rsidR="0093512F" w:rsidRPr="00394876" w:rsidRDefault="0093512F" w:rsidP="009351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FD4D13"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0 тыс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уб. (доходы-расходы</w:t>
      </w: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Уровень жизни населения: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Основным источником доходов населения является заработная плата. Уровень заработной платы по официально учтен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предприятиям растет. На 2024-2026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прогноз по выплате заработной платы относительно положительный.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Кроме заработной платы, одним из источников доходов является доход от предпринимательской деятельности. Данные виды доходов прогнозу не подлежат.</w:t>
      </w: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512F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4D13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основных направлений развития муниципального образования:</w:t>
      </w:r>
    </w:p>
    <w:p w:rsidR="0093512F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реализацией федерального закона </w:t>
      </w:r>
      <w:r w:rsidRPr="00FD4D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от 6 октября </w:t>
      </w:r>
      <w:r w:rsidRPr="00FD4D1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2003 года № 131-ФЗ в рамках  исполнения полномочий сельских поселений основными направлениями социально-экономического развития Соцземледельского муниципального образования  на 2020- 2022 годы являются</w:t>
      </w:r>
      <w:r w:rsidRPr="00FD4D1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 Создание благоприятных, комфортных условий проживания населения    Соцземледельского муниципального образования.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2.</w:t>
      </w:r>
      <w:r w:rsidRPr="00FD4D13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Расширение доходной базы  бюджета </w:t>
      </w:r>
      <w:r w:rsidRPr="00FD4D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сельского поселения по всем    статьям доходной части бюджета.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 .Эффективное использование муниципальной собственности.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в сельскохозяйственный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4. Развитие социальной сферы, </w:t>
      </w:r>
      <w:r w:rsidRPr="00FD4D1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содержание и ремонт дорог с твердым покрытием, 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населенных пунктов.</w:t>
      </w:r>
    </w:p>
    <w:p w:rsidR="0093512F" w:rsidRPr="00FD4D13" w:rsidRDefault="0093512F" w:rsidP="0093512F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FD4D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5. Обеспечение противопожарного состояния населенных пунктов сельского поселения. </w:t>
      </w:r>
    </w:p>
    <w:p w:rsidR="0093512F" w:rsidRPr="00FD4D13" w:rsidRDefault="0093512F" w:rsidP="0093512F">
      <w:r w:rsidRPr="00FD4D13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6.</w:t>
      </w:r>
      <w:r w:rsidRPr="00FD4D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D4D1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Совершенствование    деятельности    органов    местного    самоуправления</w:t>
      </w:r>
    </w:p>
    <w:p w:rsidR="0093512F" w:rsidRDefault="0093512F" w:rsidP="0093512F"/>
    <w:p w:rsidR="00B029D1" w:rsidRDefault="00B029D1"/>
    <w:sectPr w:rsidR="00B029D1" w:rsidSect="0071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0B29F58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666B"/>
    <w:multiLevelType w:val="hybridMultilevel"/>
    <w:tmpl w:val="BD4C84D8"/>
    <w:lvl w:ilvl="0" w:tplc="6B2032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2F"/>
    <w:rsid w:val="00601524"/>
    <w:rsid w:val="008F2E2B"/>
    <w:rsid w:val="0093512F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2024-02-20T07:07:00Z</dcterms:created>
  <dcterms:modified xsi:type="dcterms:W3CDTF">2024-02-20T07:07:00Z</dcterms:modified>
</cp:coreProperties>
</file>