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Пояснительная записка </w:t>
      </w:r>
      <w:proofErr w:type="gramStart"/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</w:t>
      </w:r>
      <w:proofErr w:type="gramEnd"/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Прогнозу социально-экономического развития </w:t>
      </w: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Соцземледельского МО  на 2023 год и плановый период 2024 и 2025 годов 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D735A" w:rsidRPr="008D735A" w:rsidRDefault="008D735A" w:rsidP="008D735A">
      <w:pPr>
        <w:shd w:val="clear" w:color="auto" w:fill="FFFFFF"/>
        <w:spacing w:after="162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Прогноз основных показателей социально-экономического развития Соцземледельского муниципального образования на 2023 год и плановый период 2024 и 2025 годы разработан в соответствии с требованиями 173 статьи Бюджетного Кодекса Российской Федерации, Порядком разработки прогноза социально-экономического развития Соцземледельского муниципального образования, утверждённым постановлением администрации Соцземледельского муниципального образования от 20.12.2021 № 36-п «Об утверждении порядка разработки прогноза социально-экономического развития Соцземледельского муниципального образования на 2022г. и плановый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период 2023и 2024 г.г.».</w:t>
      </w:r>
    </w:p>
    <w:p w:rsidR="008D735A" w:rsidRPr="008D735A" w:rsidRDefault="008D735A" w:rsidP="008D735A">
      <w:pPr>
        <w:shd w:val="clear" w:color="auto" w:fill="FFFFFF"/>
        <w:spacing w:after="162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Прогноз подготовлен администрацией на основе анализа сложившейся ситуации и тенденций развития муниципального образования на основе данных социально-экономического развития территории за последний отчетный год, ожидаемых результатов социально-экономического развития поселения в текущем году и предшествует составлению проекта бюджета Соцземледельского муниципального образования на 2023-2025 год.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При составлении прогноза социально-экономического развития Соцземледельского муниципального образования использованы:</w:t>
      </w:r>
      <w:proofErr w:type="gramEnd"/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- данные статистики;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данные администрации Соцземледельского </w:t>
      </w: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образования;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8D735A" w:rsidRPr="008D735A" w:rsidRDefault="008D735A" w:rsidP="008D735A">
      <w:pPr>
        <w:shd w:val="clear" w:color="auto" w:fill="FFFFFF"/>
        <w:spacing w:after="162" w:line="240" w:lineRule="auto"/>
        <w:jc w:val="both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>Основной целью социально – экономического развития поселения является улучшение качества жизни населения.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4"/>
          <w:shd w:val="clear" w:color="auto" w:fill="FFFFFF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Население: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Численность населения на 1 января 2022 года составила 1174 человек, ожидаемая численность в  2023 году - 1150 человек. 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По прогнозу на 2024 год численность  населения в поселении должна составить 1145 человек. К 2024 году — 1140 человек.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демографической ситуации прогнозируется дальнейшая естественная убыль.  За 10 месяцев 2022 года показатель смертности выше показателя рождаемости в 3 раза. На протяжении нескольких лет численность населения имеет  тенденцию к  снижению. 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  <w:lang w:eastAsia="ru-RU"/>
        </w:rPr>
        <w:t xml:space="preserve">В связи с </w:t>
      </w:r>
      <w:r w:rsidRPr="008D735A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  <w:lang w:eastAsia="ru-RU"/>
        </w:rPr>
        <w:t xml:space="preserve">низким  уровнем оплаты  труда, а так же недостаточно развитой инженерной и социальной инфраструктуры складывается сложная </w:t>
      </w:r>
      <w:r w:rsidRPr="008D735A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  <w:lang w:eastAsia="ru-RU"/>
        </w:rPr>
        <w:t xml:space="preserve">демографическая ситуация и миграция населения в поисках работы  за пределы области, что влияет на отток </w:t>
      </w:r>
      <w:r w:rsidRPr="008D735A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  <w:lang w:eastAsia="ru-RU"/>
        </w:rPr>
        <w:t xml:space="preserve"> рабочей силы в поселении.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Социально-экономическое развитие поселения: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Крупных предприятий промышленности на территории поселения нет. 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На территории  Соцземледельского МО осуществляют свою деятельность 12 ИП КФХ, ООО «Земледелец-2002»,  которые специализируются на выращивании зерновых культур. Сфера их деятельности  оказывает значительное  влияние  на пополнение бюджета Соцземледельского МО.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В 2023-2025 годах увеличение количества предприятий не ожидается.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виду деятельности «строительство»  работы в 2022-2024 годах не планируются. 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Потребительский рынок: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Население поселения обеспечено всеми видами товаров. Крупных торговых предприятий на территории поселения нет. Из предприятий малого бизнеса в 2022 году работают 6  торговых точек.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Розничный товарооборот по данным предприятиям не определен. Но это составляет некоторый резерв поступления налогов.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По прогнозу на 2023-2025 годы количество торговых точек не изменится.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Социальная сфера: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Из объектов социальной сферы на территории поселения расположены: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- 1 школа в 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.С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оцземледельский</w:t>
      </w:r>
      <w:proofErr w:type="spell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-1 детский сад в 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.С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оцземледельский</w:t>
      </w:r>
      <w:proofErr w:type="spell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-дом культуры в 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.С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оцземледельский</w:t>
      </w:r>
      <w:proofErr w:type="spell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-2 библиотеки в 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.С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оцземледельский</w:t>
      </w:r>
      <w:proofErr w:type="spell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с.Львовка</w:t>
      </w:r>
      <w:proofErr w:type="spell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-2 фельдшерско-акушерских пункта в  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.Л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ьвовка</w:t>
      </w:r>
      <w:proofErr w:type="spell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п.Соцземледельский</w:t>
      </w:r>
      <w:proofErr w:type="spell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-1 почтовое отделение в 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.С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оцземледельском</w:t>
      </w:r>
      <w:proofErr w:type="spell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>В настоящее время в школах поселения обучается 81 ученик и 26 детей посещают дошкольное учреждение. В 2023-2025 годах планируется, что численность учащихся, посещающих образовательные учреждения (школы) будет несущественно, но уменьшаться, а численность детей, посещающих учреждения дошкольного образования по прогнозным данным незначительно увеличится.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Жилищно-коммунальное хозяйство: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На территории поселения работают следующие организации жилищно-хозяйственного комплекса: СОПК «Родник-С» и слесарь «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Межрайгаза</w:t>
      </w:r>
      <w:proofErr w:type="spell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», обеспечивающие в полной мере услуги 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водо</w:t>
      </w:r>
      <w:proofErr w:type="spell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-, газоснабжения. 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Строительства многоквартирных и индивидуальных жилых домов в период до 2025 года не планируется. 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Транспорт: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 xml:space="preserve">Для проезда до районного центра населению организована работа рейсового автобуса 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>Львовка-Балашов</w:t>
      </w:r>
      <w:proofErr w:type="spellEnd"/>
      <w:r w:rsidRPr="008D735A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 xml:space="preserve"> (через 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>п</w:t>
      </w: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>.С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>оцземледельский</w:t>
      </w:r>
      <w:proofErr w:type="spellEnd"/>
      <w:r w:rsidRPr="008D735A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 xml:space="preserve">). 1 автобус ИП 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>Глухов</w:t>
      </w:r>
      <w:proofErr w:type="spellEnd"/>
      <w:r w:rsidRPr="008D735A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 xml:space="preserve"> Ю.В.., количество рейсов –ежедневно 1 раз в день.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Финансы: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Прогнозные доходы и расходы местного бюджета на 2023-2025 годы.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Cs w:val="24"/>
          <w:highlight w:val="yellow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i/>
          <w:sz w:val="24"/>
          <w:szCs w:val="28"/>
          <w:highlight w:val="yellow"/>
          <w:u w:val="single"/>
          <w:lang w:eastAsia="ru-RU"/>
        </w:rPr>
      </w:pP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Проектом  предлагается  утвердить  основные  характеристики бюджета муниципального образования на  2023-2025 годы:  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2023г.:</w:t>
      </w:r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общий объем доходов</w:t>
      </w:r>
      <w:proofErr w:type="gramStart"/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: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    </w:t>
      </w:r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7 005,6 </w:t>
      </w:r>
      <w:r w:rsidRPr="008D735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тыс. рублей;</w:t>
      </w:r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общий объем расходов – 7 005,6 </w:t>
      </w:r>
      <w:r w:rsidRPr="008D735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тыс. рублей;</w:t>
      </w:r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                 дефицит бюджета в размере   0  </w:t>
      </w:r>
      <w:r w:rsidRPr="008D735A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тыс. рублей.</w:t>
      </w:r>
      <w:r w:rsidRPr="008D73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2024г.:  </w:t>
      </w:r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общий объем доходов :    3679,9 тыс</w:t>
      </w:r>
      <w:proofErr w:type="gramStart"/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ублей;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общий объем расходов –  3585,9 </w:t>
      </w:r>
      <w:r w:rsidRPr="008D735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тыс. рублей;</w:t>
      </w:r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2025г.:</w:t>
      </w:r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общий объем доходов :    3798,8 тыс</w:t>
      </w:r>
      <w:proofErr w:type="gramStart"/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ублей;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                 </w:t>
      </w:r>
      <w:r w:rsidRPr="008D73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общий объем расходов –  3606,9 </w:t>
      </w:r>
      <w:r w:rsidRPr="008D735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тыс. рублей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i/>
          <w:sz w:val="28"/>
          <w:szCs w:val="28"/>
          <w:u w:val="single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i/>
          <w:sz w:val="28"/>
          <w:szCs w:val="28"/>
          <w:u w:val="single"/>
          <w:lang w:eastAsia="ru-RU"/>
        </w:rPr>
      </w:pPr>
      <w:r w:rsidRPr="008D735A">
        <w:rPr>
          <w:rFonts w:ascii="PT Astra Serif" w:eastAsia="Times New Roman" w:hAnsi="PT Astra Serif" w:cs="Times New Roman"/>
          <w:b/>
          <w:i/>
          <w:sz w:val="28"/>
          <w:szCs w:val="28"/>
          <w:u w:val="single"/>
          <w:lang w:eastAsia="ru-RU"/>
        </w:rPr>
        <w:t>Доходная часть бюджета поселения:</w:t>
      </w:r>
    </w:p>
    <w:p w:rsidR="008D735A" w:rsidRPr="008D735A" w:rsidRDefault="008D735A" w:rsidP="008D735A">
      <w:pPr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Times New Roman"/>
          <w:b/>
          <w:i/>
          <w:sz w:val="24"/>
          <w:szCs w:val="24"/>
          <w:u w:val="single"/>
          <w:lang w:eastAsia="ru-RU"/>
        </w:rPr>
      </w:pPr>
      <w:r w:rsidRPr="008D735A">
        <w:rPr>
          <w:rFonts w:ascii="PT Astra Serif" w:eastAsia="Times New Roman" w:hAnsi="PT Astra Serif" w:cs="Times New Roman"/>
          <w:b/>
          <w:i/>
          <w:sz w:val="24"/>
          <w:szCs w:val="24"/>
          <w:u w:val="single"/>
          <w:lang w:eastAsia="ru-RU"/>
        </w:rPr>
        <w:t>Налоговые и неналоговые доходы:</w:t>
      </w:r>
    </w:p>
    <w:p w:rsidR="008D735A" w:rsidRPr="008D735A" w:rsidRDefault="008D735A" w:rsidP="008D735A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Планируемый  </w:t>
      </w:r>
      <w:r w:rsidRPr="008D735A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налог на доходы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 xml:space="preserve"> физических лиц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составит в 2023 г. –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492,1 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тыс. руб. ; в 2024г.-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532,7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тыс.руб.; в 2025г.-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571,1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тыс.руб</w:t>
      </w: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.У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величение по отношению к 2022 г.составит 252,5 тыс.руб.</w:t>
      </w:r>
    </w:p>
    <w:p w:rsidR="008D735A" w:rsidRPr="008D735A" w:rsidRDefault="008D735A" w:rsidP="008D735A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Планируемый  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налог на имущество физических лиц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рассчитан исходя из фактического общего поступления налога в 2020-2021г.г. и ожидаемое поступление в 2022 г</w:t>
      </w: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.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Налог на имущество составит в 2023 г. –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292,0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тыс. руб. (по форме 5МН МРИ ФНС за 2021 год). ; в 2024г.-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321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тыс.руб; в 2025г.-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330. 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Увеличение по отношению к 2022г. составит 27 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тыс</w:t>
      </w: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уб</w:t>
      </w:r>
      <w:proofErr w:type="spellEnd"/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3.Планируемый  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земельный налог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рассчитан исходя из фактического поступления  в 2020-2021  г.г. и ожидаемое поступление в 2022 году, а также с учетом  новых кадастровых оценок  составит на 2023 г. –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1483,4 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тыс</w:t>
      </w: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уб. ; в 2024г.-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1489,0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тыс.руб.; в 2025г.-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1500 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тыс.руб.  Уменьшение по отношению к 2022 г.составит 42,4 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тыс.руб</w:t>
      </w:r>
      <w:proofErr w:type="spellEnd"/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4. Планируемый  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единый сельскохозяйственный налог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2023 год   - 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288,6 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тыс</w:t>
      </w: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уб.; в 2024г.-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300,7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тыс.руб.; в 2025г.-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318,7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тыс.руб. 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Уменьшение  по отношению к 2022 г. составит 267,5тыс</w:t>
      </w: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уб.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5. Планируемый  </w:t>
      </w:r>
      <w:r w:rsidRPr="008D735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объем поступлений от  </w:t>
      </w:r>
      <w:r w:rsidRPr="008D735A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государственной пошлины</w:t>
      </w:r>
      <w:r w:rsidRPr="008D735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за совершение нотариальных действий должностными лицами органов местного самоуправления  на 2023 год  составит </w:t>
      </w:r>
      <w:r w:rsidRPr="008D735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6,0</w:t>
      </w:r>
      <w:r w:rsidRPr="008D735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тыс</w:t>
      </w:r>
      <w:proofErr w:type="gramStart"/>
      <w:r w:rsidRPr="008D735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уб.; в 2024г.-</w:t>
      </w:r>
      <w:r w:rsidRPr="008D735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6</w:t>
      </w:r>
      <w:r w:rsidRPr="008D735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тыс.руб.; в 2025г.-</w:t>
      </w:r>
      <w:r w:rsidRPr="008D735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6</w:t>
      </w:r>
      <w:r w:rsidRPr="008D735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тыс.руб.  Увеличение по отношению к 2022 г. составит 3 тыс.руб.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Cs/>
          <w:color w:val="FF0000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6. Поступление доходов 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уплаты акцизов на нефтепродукты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2023г.-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923,7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тыс</w:t>
      </w: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уб</w:t>
      </w:r>
      <w:proofErr w:type="spell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; в 2024г.-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960,6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тыс.руб.; в 2025г.-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999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тыс.руб</w:t>
      </w:r>
      <w:proofErr w:type="spell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. 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7. Поступления  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арендной платы за земельные участки  и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 xml:space="preserve">доходы от продажи земельных участков 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и доходы от продажи муниципального имущества  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на 2023-2025 годы не запланированы.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8..Прочие доходы-</w:t>
      </w:r>
      <w:r w:rsidRPr="008D73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0,0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тыс</w:t>
      </w:r>
      <w:proofErr w:type="gramStart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уб.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>ИТОГО прогнозируемые налоговые доходы составят: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i/>
          <w:sz w:val="36"/>
          <w:szCs w:val="24"/>
          <w:u w:val="single"/>
          <w:lang w:eastAsia="ru-RU"/>
        </w:rPr>
      </w:pP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 xml:space="preserve"> 2023 г. – </w:t>
      </w: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u w:val="single"/>
          <w:lang w:eastAsia="ru-RU"/>
        </w:rPr>
        <w:t>3485,8</w:t>
      </w: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 xml:space="preserve"> тыс</w:t>
      </w:r>
      <w:proofErr w:type="gramStart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>уб.;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 xml:space="preserve"> 2024г.-   </w:t>
      </w: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u w:val="single"/>
          <w:lang w:eastAsia="ru-RU"/>
        </w:rPr>
        <w:t xml:space="preserve">3610,0 </w:t>
      </w: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 xml:space="preserve"> тыс</w:t>
      </w:r>
      <w:proofErr w:type="gramStart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>уб.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 xml:space="preserve"> 2025г.-  </w:t>
      </w: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u w:val="single"/>
          <w:lang w:eastAsia="ru-RU"/>
        </w:rPr>
        <w:t>3724,8</w:t>
      </w: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 xml:space="preserve"> тыс</w:t>
      </w:r>
      <w:proofErr w:type="gramStart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>уб.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i/>
          <w:sz w:val="32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i/>
          <w:sz w:val="24"/>
          <w:szCs w:val="24"/>
          <w:u w:val="single"/>
          <w:lang w:eastAsia="ru-RU"/>
        </w:rPr>
        <w:t>Безвозмездные поступления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2023-2025 годы включают:</w:t>
      </w: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0"/>
          <w:szCs w:val="24"/>
          <w:lang w:eastAsia="ru-RU"/>
        </w:rPr>
      </w:pPr>
      <w:r w:rsidRPr="008D735A">
        <w:rPr>
          <w:rFonts w:ascii="PT Astra Serif" w:eastAsia="Calibri" w:hAnsi="PT Astra Serif" w:cs="Times New Roman"/>
          <w:bCs/>
          <w:sz w:val="24"/>
          <w:szCs w:val="28"/>
        </w:rPr>
        <w:t>дотации бюджетам сельских поселений на выравнивание бюджетной обеспеченности в 2023г.-</w:t>
      </w:r>
      <w:r w:rsidRPr="008D735A">
        <w:rPr>
          <w:rFonts w:ascii="PT Astra Serif" w:eastAsia="Calibri" w:hAnsi="PT Astra Serif" w:cs="Times New Roman"/>
          <w:b/>
          <w:bCs/>
          <w:sz w:val="24"/>
          <w:szCs w:val="28"/>
        </w:rPr>
        <w:t>66,8</w:t>
      </w:r>
      <w:r w:rsidRPr="008D735A">
        <w:rPr>
          <w:rFonts w:ascii="PT Astra Serif" w:eastAsia="Calibri" w:hAnsi="PT Astra Serif" w:cs="Times New Roman"/>
          <w:bCs/>
          <w:sz w:val="24"/>
          <w:szCs w:val="28"/>
        </w:rPr>
        <w:t xml:space="preserve"> тыс</w:t>
      </w:r>
      <w:proofErr w:type="gramStart"/>
      <w:r w:rsidRPr="008D735A">
        <w:rPr>
          <w:rFonts w:ascii="PT Astra Serif" w:eastAsia="Calibri" w:hAnsi="PT Astra Serif" w:cs="Times New Roman"/>
          <w:bCs/>
          <w:sz w:val="24"/>
          <w:szCs w:val="28"/>
        </w:rPr>
        <w:t>.р</w:t>
      </w:r>
      <w:proofErr w:type="gramEnd"/>
      <w:r w:rsidRPr="008D735A">
        <w:rPr>
          <w:rFonts w:ascii="PT Astra Serif" w:eastAsia="Calibri" w:hAnsi="PT Astra Serif" w:cs="Times New Roman"/>
          <w:bCs/>
          <w:sz w:val="24"/>
          <w:szCs w:val="28"/>
        </w:rPr>
        <w:t>уб.; в 2024г.-</w:t>
      </w:r>
      <w:r w:rsidRPr="008D735A">
        <w:rPr>
          <w:rFonts w:ascii="PT Astra Serif" w:eastAsia="Calibri" w:hAnsi="PT Astra Serif" w:cs="Times New Roman"/>
          <w:b/>
          <w:bCs/>
          <w:sz w:val="24"/>
          <w:szCs w:val="28"/>
        </w:rPr>
        <w:t xml:space="preserve">69,9 </w:t>
      </w:r>
      <w:r w:rsidRPr="008D735A">
        <w:rPr>
          <w:rFonts w:ascii="PT Astra Serif" w:eastAsia="Calibri" w:hAnsi="PT Astra Serif" w:cs="Times New Roman"/>
          <w:bCs/>
          <w:sz w:val="24"/>
          <w:szCs w:val="28"/>
        </w:rPr>
        <w:t>тыс.руб., в 2025г.-</w:t>
      </w:r>
      <w:r w:rsidRPr="008D735A">
        <w:rPr>
          <w:rFonts w:ascii="PT Astra Serif" w:eastAsia="Calibri" w:hAnsi="PT Astra Serif" w:cs="Times New Roman"/>
          <w:b/>
          <w:bCs/>
          <w:sz w:val="24"/>
          <w:szCs w:val="28"/>
        </w:rPr>
        <w:t>74,0</w:t>
      </w:r>
      <w:r w:rsidRPr="008D735A">
        <w:rPr>
          <w:rFonts w:ascii="PT Astra Serif" w:eastAsia="Calibri" w:hAnsi="PT Astra Serif" w:cs="Times New Roman"/>
          <w:bCs/>
          <w:sz w:val="24"/>
          <w:szCs w:val="28"/>
        </w:rPr>
        <w:t xml:space="preserve"> тыс.руб.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8D735A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.</w:t>
      </w: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-субвенция бюджетам сельских поселений на осуществление первичного воинского учета на       территориях, где отсутствуют военные комиссариаты  на 2023  год </w:t>
      </w:r>
      <w:r w:rsidRPr="008D735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– 0,0   </w:t>
      </w:r>
      <w:proofErr w:type="spellStart"/>
      <w:r w:rsidRPr="008D735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тыс</w:t>
      </w:r>
      <w:proofErr w:type="gramStart"/>
      <w:r w:rsidRPr="008D735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уб</w:t>
      </w:r>
      <w:proofErr w:type="spellEnd"/>
      <w:r w:rsidRPr="008D735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; </w:t>
      </w:r>
      <w:r w:rsidRPr="008D735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на 2024г.-</w:t>
      </w:r>
      <w:r w:rsidRPr="008D735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0,0 тыс.руб.., </w:t>
      </w:r>
      <w:r w:rsidRPr="008D735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на 2025г.-</w:t>
      </w:r>
      <w:r w:rsidRPr="008D735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0,0 тыс.руб.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Cs w:val="24"/>
          <w:lang w:eastAsia="ru-RU"/>
        </w:rPr>
      </w:pPr>
      <w:r w:rsidRPr="008D735A">
        <w:rPr>
          <w:rFonts w:ascii="PT Astra Serif" w:eastAsia="Calibri" w:hAnsi="PT Astra Serif" w:cs="Times New Roman"/>
          <w:sz w:val="24"/>
          <w:szCs w:val="28"/>
        </w:rPr>
        <w:t xml:space="preserve"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</w:t>
      </w:r>
      <w:r w:rsidRPr="008D735A">
        <w:rPr>
          <w:rFonts w:ascii="PT Astra Serif" w:eastAsia="Calibri" w:hAnsi="PT Astra Serif" w:cs="Times New Roman"/>
          <w:sz w:val="24"/>
          <w:szCs w:val="28"/>
        </w:rPr>
        <w:lastRenderedPageBreak/>
        <w:t>населенных пунктов сельских поселений за счет средств областного дорожного фонда</w:t>
      </w:r>
      <w:r w:rsidRPr="008D735A">
        <w:rPr>
          <w:rFonts w:ascii="PT Astra Serif" w:eastAsia="Times New Roman" w:hAnsi="PT Astra Serif" w:cs="Times New Roman"/>
          <w:szCs w:val="24"/>
          <w:lang w:eastAsia="ru-RU"/>
        </w:rPr>
        <w:t xml:space="preserve"> на 2023г.-</w:t>
      </w:r>
      <w:r w:rsidRPr="008D735A">
        <w:rPr>
          <w:rFonts w:ascii="PT Astra Serif" w:eastAsia="Times New Roman" w:hAnsi="PT Astra Serif" w:cs="Times New Roman"/>
          <w:b/>
          <w:szCs w:val="24"/>
          <w:u w:val="single"/>
          <w:lang w:eastAsia="ru-RU"/>
        </w:rPr>
        <w:t>3453,0</w:t>
      </w:r>
      <w:r w:rsidRPr="008D735A">
        <w:rPr>
          <w:rFonts w:ascii="PT Astra Serif" w:eastAsia="Times New Roman" w:hAnsi="PT Astra Serif" w:cs="Times New Roman"/>
          <w:b/>
          <w:szCs w:val="24"/>
          <w:lang w:eastAsia="ru-RU"/>
        </w:rPr>
        <w:t xml:space="preserve"> тыс. </w:t>
      </w:r>
      <w:proofErr w:type="spellStart"/>
      <w:r w:rsidRPr="008D735A">
        <w:rPr>
          <w:rFonts w:ascii="PT Astra Serif" w:eastAsia="Times New Roman" w:hAnsi="PT Astra Serif" w:cs="Times New Roman"/>
          <w:b/>
          <w:szCs w:val="24"/>
          <w:lang w:eastAsia="ru-RU"/>
        </w:rPr>
        <w:t>руб</w:t>
      </w:r>
      <w:proofErr w:type="spellEnd"/>
      <w:r w:rsidRPr="008D735A">
        <w:rPr>
          <w:rFonts w:ascii="PT Astra Serif" w:eastAsia="Times New Roman" w:hAnsi="PT Astra Serif" w:cs="Times New Roman"/>
          <w:szCs w:val="24"/>
          <w:lang w:eastAsia="ru-RU"/>
        </w:rPr>
        <w:t>; на 2024г.-</w:t>
      </w:r>
      <w:r w:rsidRPr="008D735A">
        <w:rPr>
          <w:rFonts w:ascii="PT Astra Serif" w:eastAsia="Times New Roman" w:hAnsi="PT Astra Serif" w:cs="Times New Roman"/>
          <w:b/>
          <w:szCs w:val="24"/>
          <w:lang w:eastAsia="ru-RU"/>
        </w:rPr>
        <w:t>0,0</w:t>
      </w:r>
      <w:r w:rsidRPr="008D735A">
        <w:rPr>
          <w:rFonts w:ascii="PT Astra Serif" w:eastAsia="Times New Roman" w:hAnsi="PT Astra Serif" w:cs="Times New Roman"/>
          <w:szCs w:val="24"/>
          <w:lang w:eastAsia="ru-RU"/>
        </w:rPr>
        <w:t xml:space="preserve"> тыс</w:t>
      </w:r>
      <w:proofErr w:type="gramStart"/>
      <w:r w:rsidRPr="008D735A">
        <w:rPr>
          <w:rFonts w:ascii="PT Astra Serif" w:eastAsia="Times New Roman" w:hAnsi="PT Astra Serif" w:cs="Times New Roman"/>
          <w:szCs w:val="24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szCs w:val="24"/>
          <w:lang w:eastAsia="ru-RU"/>
        </w:rPr>
        <w:t>уб., на 2025г.-</w:t>
      </w:r>
      <w:r w:rsidRPr="008D735A">
        <w:rPr>
          <w:rFonts w:ascii="PT Astra Serif" w:eastAsia="Times New Roman" w:hAnsi="PT Astra Serif" w:cs="Times New Roman"/>
          <w:b/>
          <w:szCs w:val="24"/>
          <w:lang w:eastAsia="ru-RU"/>
        </w:rPr>
        <w:t>0,0</w:t>
      </w:r>
      <w:r w:rsidRPr="008D735A">
        <w:rPr>
          <w:rFonts w:ascii="PT Astra Serif" w:eastAsia="Times New Roman" w:hAnsi="PT Astra Serif" w:cs="Times New Roman"/>
          <w:szCs w:val="24"/>
          <w:lang w:eastAsia="ru-RU"/>
        </w:rPr>
        <w:t xml:space="preserve"> тыс.руб.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32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>ИТОГО Безвозмездные поступления составят:</w:t>
      </w: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>2023  год – 3519,8  тыс. руб.;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 xml:space="preserve">                               2024год-69,9тыс</w:t>
      </w:r>
      <w:proofErr w:type="gramStart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>уб.;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36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 xml:space="preserve">                              2025год-74 тыс</w:t>
      </w:r>
      <w:proofErr w:type="gramStart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>уб.</w:t>
      </w: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>ВСЕГО ДОХОДНАЯ ЧАСТЬ составит:</w:t>
      </w: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 xml:space="preserve">2023 год – </w:t>
      </w: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u w:val="single"/>
          <w:lang w:eastAsia="ru-RU"/>
        </w:rPr>
        <w:t xml:space="preserve">7005,6  </w:t>
      </w:r>
      <w:proofErr w:type="spellStart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u w:val="single"/>
          <w:lang w:eastAsia="ru-RU"/>
        </w:rPr>
        <w:t>тыс</w:t>
      </w:r>
      <w:proofErr w:type="gramStart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u w:val="single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u w:val="single"/>
          <w:lang w:eastAsia="ru-RU"/>
        </w:rPr>
        <w:t>уб</w:t>
      </w:r>
      <w:proofErr w:type="spellEnd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u w:val="single"/>
          <w:lang w:eastAsia="ru-RU"/>
        </w:rPr>
        <w:t>;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 xml:space="preserve">                                 2024год-</w:t>
      </w: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u w:val="single"/>
          <w:lang w:eastAsia="ru-RU"/>
        </w:rPr>
        <w:t>3679,9 тыс</w:t>
      </w:r>
      <w:proofErr w:type="gramStart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u w:val="single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u w:val="single"/>
          <w:lang w:eastAsia="ru-RU"/>
        </w:rPr>
        <w:t>уб.;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i/>
          <w:sz w:val="36"/>
          <w:szCs w:val="24"/>
          <w:u w:val="single"/>
          <w:lang w:eastAsia="ru-RU"/>
        </w:rPr>
      </w:pP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lang w:eastAsia="ru-RU"/>
        </w:rPr>
        <w:t xml:space="preserve">                                2025год-</w:t>
      </w:r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u w:val="single"/>
          <w:lang w:eastAsia="ru-RU"/>
        </w:rPr>
        <w:t>3798,8 тыс</w:t>
      </w:r>
      <w:proofErr w:type="gramStart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u w:val="single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b/>
          <w:i/>
          <w:sz w:val="36"/>
          <w:szCs w:val="24"/>
          <w:u w:val="single"/>
          <w:lang w:eastAsia="ru-RU"/>
        </w:rPr>
        <w:t>уб.</w:t>
      </w: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</w:pP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36"/>
          <w:szCs w:val="28"/>
          <w:u w:val="single"/>
          <w:lang w:eastAsia="ru-RU"/>
        </w:rPr>
      </w:pPr>
      <w:r w:rsidRPr="008D735A">
        <w:rPr>
          <w:rFonts w:ascii="PT Astra Serif" w:eastAsia="Times New Roman" w:hAnsi="PT Astra Serif" w:cs="Times New Roman"/>
          <w:b/>
          <w:i/>
          <w:sz w:val="36"/>
          <w:szCs w:val="28"/>
          <w:u w:val="single"/>
          <w:lang w:eastAsia="ru-RU"/>
        </w:rPr>
        <w:t>Расходная часть бюджета Соцземледельского МО</w:t>
      </w: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8"/>
          <w:szCs w:val="24"/>
          <w:lang w:eastAsia="ru-RU"/>
        </w:rPr>
        <w:t>Общий объем расходных обязатель</w:t>
      </w:r>
      <w:proofErr w:type="gramStart"/>
      <w:r w:rsidRPr="008D735A">
        <w:rPr>
          <w:rFonts w:ascii="PT Astra Serif" w:eastAsia="Times New Roman" w:hAnsi="PT Astra Serif" w:cs="Times New Roman"/>
          <w:sz w:val="28"/>
          <w:szCs w:val="24"/>
          <w:lang w:eastAsia="ru-RU"/>
        </w:rPr>
        <w:t>ств в пр</w:t>
      </w:r>
      <w:proofErr w:type="gramEnd"/>
      <w:r w:rsidRPr="008D735A">
        <w:rPr>
          <w:rFonts w:ascii="PT Astra Serif" w:eastAsia="Times New Roman" w:hAnsi="PT Astra Serif" w:cs="Times New Roman"/>
          <w:sz w:val="28"/>
          <w:szCs w:val="24"/>
          <w:lang w:eastAsia="ru-RU"/>
        </w:rPr>
        <w:t>оекте бюджета Соцземледельского МО на 2023-2025 годы прогнозируется в размере;</w:t>
      </w: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24"/>
          <w:u w:val="single"/>
          <w:lang w:eastAsia="ru-RU"/>
        </w:rPr>
      </w:pPr>
      <w:r w:rsidRPr="008D735A">
        <w:rPr>
          <w:rFonts w:ascii="PT Astra Serif" w:eastAsia="Times New Roman" w:hAnsi="PT Astra Serif" w:cs="Times New Roman"/>
          <w:sz w:val="32"/>
          <w:szCs w:val="24"/>
          <w:u w:val="single"/>
          <w:lang w:eastAsia="ru-RU"/>
        </w:rPr>
        <w:t xml:space="preserve">2023г.-   </w:t>
      </w:r>
      <w:r w:rsidRPr="008D735A">
        <w:rPr>
          <w:rFonts w:ascii="PT Astra Serif" w:eastAsia="Times New Roman" w:hAnsi="PT Astra Serif" w:cs="Times New Roman"/>
          <w:b/>
          <w:sz w:val="32"/>
          <w:szCs w:val="24"/>
          <w:u w:val="single"/>
          <w:lang w:eastAsia="ru-RU"/>
        </w:rPr>
        <w:t>7005,6 тыс</w:t>
      </w:r>
      <w:proofErr w:type="gramStart"/>
      <w:r w:rsidRPr="008D735A">
        <w:rPr>
          <w:rFonts w:ascii="PT Astra Serif" w:eastAsia="Times New Roman" w:hAnsi="PT Astra Serif" w:cs="Times New Roman"/>
          <w:b/>
          <w:sz w:val="32"/>
          <w:szCs w:val="24"/>
          <w:u w:val="single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b/>
          <w:sz w:val="32"/>
          <w:szCs w:val="24"/>
          <w:u w:val="single"/>
          <w:lang w:eastAsia="ru-RU"/>
        </w:rPr>
        <w:t>уб.;</w:t>
      </w: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24"/>
          <w:u w:val="single"/>
          <w:lang w:eastAsia="ru-RU"/>
        </w:rPr>
      </w:pPr>
      <w:r w:rsidRPr="008D735A">
        <w:rPr>
          <w:rFonts w:ascii="PT Astra Serif" w:eastAsia="Times New Roman" w:hAnsi="PT Astra Serif" w:cs="Times New Roman"/>
          <w:sz w:val="32"/>
          <w:szCs w:val="24"/>
          <w:u w:val="single"/>
          <w:lang w:eastAsia="ru-RU"/>
        </w:rPr>
        <w:t>2024г.</w:t>
      </w:r>
      <w:r w:rsidRPr="008D735A">
        <w:rPr>
          <w:rFonts w:ascii="PT Astra Serif" w:eastAsia="Times New Roman" w:hAnsi="PT Astra Serif" w:cs="Times New Roman"/>
          <w:b/>
          <w:sz w:val="32"/>
          <w:szCs w:val="24"/>
          <w:u w:val="single"/>
          <w:lang w:eastAsia="ru-RU"/>
        </w:rPr>
        <w:t>-3585,9 тыс</w:t>
      </w:r>
      <w:proofErr w:type="gramStart"/>
      <w:r w:rsidRPr="008D735A">
        <w:rPr>
          <w:rFonts w:ascii="PT Astra Serif" w:eastAsia="Times New Roman" w:hAnsi="PT Astra Serif" w:cs="Times New Roman"/>
          <w:b/>
          <w:sz w:val="32"/>
          <w:szCs w:val="24"/>
          <w:u w:val="single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b/>
          <w:sz w:val="32"/>
          <w:szCs w:val="24"/>
          <w:u w:val="single"/>
          <w:lang w:eastAsia="ru-RU"/>
        </w:rPr>
        <w:t>уб.;</w:t>
      </w: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24"/>
          <w:u w:val="single"/>
          <w:lang w:eastAsia="ru-RU"/>
        </w:rPr>
      </w:pPr>
      <w:r w:rsidRPr="008D735A">
        <w:rPr>
          <w:rFonts w:ascii="PT Astra Serif" w:eastAsia="Times New Roman" w:hAnsi="PT Astra Serif" w:cs="Times New Roman"/>
          <w:sz w:val="32"/>
          <w:szCs w:val="24"/>
          <w:u w:val="single"/>
          <w:lang w:eastAsia="ru-RU"/>
        </w:rPr>
        <w:t>2025г.</w:t>
      </w:r>
      <w:r w:rsidRPr="008D735A">
        <w:rPr>
          <w:rFonts w:ascii="PT Astra Serif" w:eastAsia="Times New Roman" w:hAnsi="PT Astra Serif" w:cs="Times New Roman"/>
          <w:b/>
          <w:sz w:val="32"/>
          <w:szCs w:val="24"/>
          <w:u w:val="single"/>
          <w:lang w:eastAsia="ru-RU"/>
        </w:rPr>
        <w:t>-3606,9 тыс</w:t>
      </w:r>
      <w:proofErr w:type="gramStart"/>
      <w:r w:rsidRPr="008D735A">
        <w:rPr>
          <w:rFonts w:ascii="PT Astra Serif" w:eastAsia="Times New Roman" w:hAnsi="PT Astra Serif" w:cs="Times New Roman"/>
          <w:b/>
          <w:sz w:val="32"/>
          <w:szCs w:val="24"/>
          <w:u w:val="single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b/>
          <w:sz w:val="32"/>
          <w:szCs w:val="24"/>
          <w:u w:val="single"/>
          <w:lang w:eastAsia="ru-RU"/>
        </w:rPr>
        <w:t>уб.</w:t>
      </w: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24"/>
          <w:u w:val="single"/>
          <w:lang w:eastAsia="ru-RU"/>
        </w:rPr>
      </w:pP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/>
          <w:iCs/>
          <w:sz w:val="28"/>
          <w:szCs w:val="24"/>
          <w:u w:val="single"/>
          <w:lang w:eastAsia="ru-RU"/>
        </w:rPr>
      </w:pPr>
      <w:r w:rsidRPr="008D735A">
        <w:rPr>
          <w:rFonts w:ascii="PT Astra Serif" w:eastAsia="Times New Roman" w:hAnsi="PT Astra Serif" w:cs="Times New Roman"/>
          <w:b/>
          <w:bCs/>
          <w:i/>
          <w:iCs/>
          <w:sz w:val="28"/>
          <w:szCs w:val="24"/>
          <w:u w:val="single"/>
          <w:lang w:eastAsia="ru-RU"/>
        </w:rPr>
        <w:t>Дефицит бюджета составляет:</w:t>
      </w:r>
      <w:r w:rsidRPr="008D735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  0 тыс</w:t>
      </w:r>
      <w:proofErr w:type="gramStart"/>
      <w:r w:rsidRPr="008D735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.р</w:t>
      </w:r>
      <w:proofErr w:type="gramEnd"/>
      <w:r w:rsidRPr="008D735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уб. (доходы-расходы)</w:t>
      </w:r>
    </w:p>
    <w:p w:rsidR="008D735A" w:rsidRPr="008D735A" w:rsidRDefault="008D735A" w:rsidP="008D735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i/>
          <w:sz w:val="24"/>
          <w:szCs w:val="28"/>
          <w:u w:val="single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Уровень жизни населения: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Основным источником доходов населения является заработная плата. Уровень заработной платы по официально учтенным предприятиям растет. На 2023-2025 годы прогноз по выплате заработной платы относительно положительный.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Кроме заработной платы, одним из источников доходов является доход от предпринимательской деятельности. Данные виды доходов прогнозу не подлежат.</w:t>
      </w: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D735A" w:rsidRPr="008D735A" w:rsidRDefault="008D735A" w:rsidP="008D735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основных направлений развития муниципального образования: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реализацией федерального закона </w:t>
      </w:r>
      <w:r w:rsidRPr="008D735A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 от 6 октября </w:t>
      </w:r>
      <w:r w:rsidRPr="008D735A">
        <w:rPr>
          <w:rFonts w:ascii="PT Astra Serif" w:eastAsia="Times New Roman" w:hAnsi="PT Astra Serif" w:cs="Times New Roman"/>
          <w:spacing w:val="2"/>
          <w:sz w:val="24"/>
          <w:szCs w:val="24"/>
          <w:lang w:eastAsia="ru-RU"/>
        </w:rPr>
        <w:t>2003 года № 131-ФЗ в рамках  исполнения полномочий сельских поселений основными направлениями социально-экономического развития Соцземледельского муниципального образования  на 2020- 2022 годы являются</w:t>
      </w:r>
      <w:r w:rsidRPr="008D735A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>: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>1. Создание благоприятных, комфортных условий проживания населения    Соцземледельского муниципального образования.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pacing w:val="-14"/>
          <w:sz w:val="24"/>
          <w:szCs w:val="24"/>
          <w:lang w:eastAsia="ru-RU"/>
        </w:rPr>
        <w:t>2.</w:t>
      </w:r>
      <w:r w:rsidRPr="008D735A">
        <w:rPr>
          <w:rFonts w:ascii="PT Astra Serif" w:eastAsia="Times New Roman" w:hAnsi="PT Astra Serif" w:cs="Times New Roman"/>
          <w:spacing w:val="4"/>
          <w:sz w:val="24"/>
          <w:szCs w:val="24"/>
          <w:lang w:eastAsia="ru-RU"/>
        </w:rPr>
        <w:t xml:space="preserve">Расширение доходной базы  бюджета </w:t>
      </w:r>
      <w:r w:rsidRPr="008D735A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>сельского поселения по всем    статьям доходной части бюджета.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pacing w:val="2"/>
          <w:sz w:val="24"/>
          <w:szCs w:val="24"/>
          <w:lang w:eastAsia="ru-RU"/>
        </w:rPr>
        <w:lastRenderedPageBreak/>
        <w:t>3 .Эффективное использование муниципальной собственности.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Вовлечение в сельскохозяйственный оборот неиспользуемых земельных участков, а также выявление земельных участков, используемых без правоустанавливающих документов и оформление их в муниципальную собственность с дальнейшим использованием.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pacing w:val="5"/>
          <w:sz w:val="24"/>
          <w:szCs w:val="24"/>
          <w:lang w:eastAsia="ru-RU"/>
        </w:rPr>
        <w:t xml:space="preserve">4. Развитие социальной сферы, </w:t>
      </w:r>
      <w:r w:rsidRPr="008D735A">
        <w:rPr>
          <w:rFonts w:ascii="PT Astra Serif" w:eastAsia="Times New Roman" w:hAnsi="PT Astra Serif" w:cs="Times New Roman"/>
          <w:spacing w:val="2"/>
          <w:sz w:val="24"/>
          <w:szCs w:val="24"/>
          <w:lang w:eastAsia="ru-RU"/>
        </w:rPr>
        <w:t xml:space="preserve">содержание и ремонт дорог с твердым покрытием, 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>благоустройство населенных пунктов.</w:t>
      </w:r>
    </w:p>
    <w:p w:rsidR="008D735A" w:rsidRPr="008D735A" w:rsidRDefault="008D735A" w:rsidP="008D735A">
      <w:pPr>
        <w:spacing w:after="0" w:line="240" w:lineRule="auto"/>
        <w:jc w:val="both"/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</w:pPr>
      <w:r w:rsidRPr="008D735A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5. Обеспечение противопожарного состояния населенных пунктов сельского поселения. </w:t>
      </w:r>
    </w:p>
    <w:p w:rsidR="008D735A" w:rsidRPr="008D735A" w:rsidRDefault="008D735A" w:rsidP="008D735A">
      <w:pPr>
        <w:rPr>
          <w:rFonts w:ascii="PT Astra Serif" w:hAnsi="PT Astra Serif"/>
        </w:rPr>
      </w:pPr>
      <w:r w:rsidRPr="008D735A">
        <w:rPr>
          <w:rFonts w:ascii="PT Astra Serif" w:eastAsia="Times New Roman" w:hAnsi="PT Astra Serif" w:cs="Times New Roman"/>
          <w:spacing w:val="-15"/>
          <w:sz w:val="24"/>
          <w:szCs w:val="24"/>
          <w:lang w:eastAsia="ru-RU"/>
        </w:rPr>
        <w:t>6.</w:t>
      </w:r>
      <w:r w:rsidRPr="008D735A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8D735A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>Совершенствование    деятельности    органов    местного    самоуправления</w:t>
      </w:r>
      <w:bookmarkStart w:id="0" w:name="_GoBack"/>
      <w:bookmarkEnd w:id="0"/>
    </w:p>
    <w:p w:rsidR="0005336A" w:rsidRDefault="0005336A"/>
    <w:sectPr w:rsidR="0005336A" w:rsidSect="0014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229B"/>
    <w:multiLevelType w:val="hybridMultilevel"/>
    <w:tmpl w:val="20B29F58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F666B"/>
    <w:multiLevelType w:val="hybridMultilevel"/>
    <w:tmpl w:val="BD4C84D8"/>
    <w:lvl w:ilvl="0" w:tplc="6B2032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D735A"/>
    <w:rsid w:val="0005336A"/>
    <w:rsid w:val="008D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8539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2022-11-14T11:28:00Z</dcterms:created>
  <dcterms:modified xsi:type="dcterms:W3CDTF">2022-11-14T11:28:00Z</dcterms:modified>
</cp:coreProperties>
</file>