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 к проекту бюджета  Соцземледельского муниципального образования  на 2023-2025 годы.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Проект решения «О бюджете Соцземледельского муниципального образования Балашовского муниципального района Саратовской области на 2022 год» подготовлен в соответствии с требованиями Бюджетного кодекса Российской Федерации и Положением  о бюджетном процессе в Соцземледельском муниципальном образовании.  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Проектом  предлагается  утвердить  основные  характеристики бюджета муниципального образования на  2023-2025 годы:  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2023г.: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общий объем доходов</w:t>
      </w:r>
      <w:proofErr w:type="gramStart"/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: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   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7 005,6 </w:t>
      </w:r>
      <w:r w:rsidRPr="00FB05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рублей;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общий объем расходов – 7 005,6 </w:t>
      </w:r>
      <w:r w:rsidRPr="00FB05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рублей;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                дефицит бюджета в размере   0  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  <w:t>тыс. рублей.</w:t>
      </w:r>
      <w:r w:rsidRPr="00FB05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2024г.:  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общий объем доходов :    3679,9 тыс</w:t>
      </w:r>
      <w:proofErr w:type="gramStart"/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ублей;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общий объем расходов –  3585,9 </w:t>
      </w:r>
      <w:r w:rsidRPr="00FB05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рублей;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2025г.: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общий объем доходов :    3798,8 тыс</w:t>
      </w:r>
      <w:proofErr w:type="gramStart"/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ублей;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                </w:t>
      </w:r>
      <w:r w:rsidRPr="00FB05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общий объем расходов –  3606,9 </w:t>
      </w:r>
      <w:r w:rsidRPr="00FB05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</w:t>
      </w:r>
    </w:p>
    <w:p w:rsidR="00FB0527" w:rsidRPr="00FB0527" w:rsidRDefault="00FB0527" w:rsidP="00FB05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Доходная часть бюджета поселения:</w:t>
      </w:r>
    </w:p>
    <w:p w:rsidR="00FB0527" w:rsidRPr="00FB0527" w:rsidRDefault="00FB0527" w:rsidP="00FB0527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  <w:t>Налоговые и неналоговые доходы:</w:t>
      </w:r>
    </w:p>
    <w:p w:rsidR="00FB0527" w:rsidRPr="00FB0527" w:rsidRDefault="00FB0527" w:rsidP="00FB0527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Планируемый  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налог на доходы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физических лиц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составит в 2023 г. –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492,1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тыс. руб. ; в 2024г.-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532,7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тыс.руб.; в 2025г.-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571,1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.У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величение по отношению к 2022 г.составит 252,5 тыс.руб.</w:t>
      </w:r>
    </w:p>
    <w:p w:rsidR="00FB0527" w:rsidRPr="00FB0527" w:rsidRDefault="00FB0527" w:rsidP="00FB0527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Планируемый 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налог на имущество физических лиц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рассчитан исходя из фактического общего поступления налога в 2020-2021г.г. и ожидаемое поступление в 2022 г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.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Налог на имущество составит в 2023 г. –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292,0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 руб. (по форме 5МН МРИ ФНС за 2021 год). ; в 2024г.-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321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тыс.руб; в 2025г.-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330.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Увеличение по отношению к 2022г. составит 27 </w:t>
      </w:r>
      <w:proofErr w:type="spell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</w:t>
      </w:r>
      <w:proofErr w:type="spellEnd"/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3.Планируемый 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земельный налог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рассчитан исходя из фактического поступления  в 2020-2021  г.г. и ожидаемое поступление в 2022 году, а также с учетом  новых кадастровых оценок  составит на 2023 г. –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1483,4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уб. ; в 2024г.-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1489,0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тыс.руб.; в 2025г.-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1500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тыс.руб.  Уменьшение по отношению к 2022 г.составит 42,4 </w:t>
      </w:r>
      <w:proofErr w:type="spell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</w:t>
      </w:r>
      <w:proofErr w:type="spellEnd"/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4. Планируемый 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единый сельскохозяйственный налог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2023 год   -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288,6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уб.; в 2024г.-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300,7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тыс.руб.; в 2025г.-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318,7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 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Уменьшение  по отношению к 2022 г. составит 267,5тыс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5. Планируемый  </w:t>
      </w:r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объем поступлений от  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государственной пошлины</w:t>
      </w:r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за совершение нотариальных действий должностными лицами органов местного самоуправления  на 2023 год  составит 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6,0</w:t>
      </w:r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уб.; в 2024г.-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</w:t>
      </w:r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тыс.руб.; в 2025г.-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</w:t>
      </w:r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тыс.руб.  Увеличение по отношению к 2022 г. составит 3 тыс.руб.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Cs/>
          <w:color w:val="FF0000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6. Поступление доходов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уплаты акцизов на нефтепродукты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2023г.-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923,7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</w:t>
      </w:r>
      <w:proofErr w:type="spell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; в 2024г.-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960,6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тыс.руб.; в 2025г.-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999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</w:t>
      </w:r>
      <w:proofErr w:type="spell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. 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7. Поступления 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арендной платы за земельные участки  и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доходы от продажи земельных участков 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и доходы от продажи муниципального имущества 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2023-2025 годы не запланированы.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8..Прочие доходы-</w:t>
      </w: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0,0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ИТОГО прогнозируемые налоговые доходы составят: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2023 г. – 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3485,8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уб.;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2024г.-   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 xml:space="preserve">3610,0 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2025г.-  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3724,8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2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  <w:t>Безвозмездные поступления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2023-2025 годы включают: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FB0527">
        <w:rPr>
          <w:rFonts w:ascii="PT Astra Serif" w:eastAsia="Calibri" w:hAnsi="PT Astra Serif" w:cs="Times New Roman"/>
          <w:bCs/>
          <w:sz w:val="24"/>
          <w:szCs w:val="28"/>
        </w:rPr>
        <w:t>дотации бюджетам сельских поселений на выравнивание бюджетной обеспеченности в 2023г.-</w:t>
      </w:r>
      <w:r w:rsidRPr="00FB0527">
        <w:rPr>
          <w:rFonts w:ascii="PT Astra Serif" w:eastAsia="Calibri" w:hAnsi="PT Astra Serif" w:cs="Times New Roman"/>
          <w:b/>
          <w:bCs/>
          <w:sz w:val="24"/>
          <w:szCs w:val="28"/>
        </w:rPr>
        <w:t>66,8</w:t>
      </w:r>
      <w:r w:rsidRPr="00FB0527">
        <w:rPr>
          <w:rFonts w:ascii="PT Astra Serif" w:eastAsia="Calibri" w:hAnsi="PT Astra Serif" w:cs="Times New Roman"/>
          <w:bCs/>
          <w:sz w:val="24"/>
          <w:szCs w:val="28"/>
        </w:rPr>
        <w:t xml:space="preserve"> тыс</w:t>
      </w:r>
      <w:proofErr w:type="gramStart"/>
      <w:r w:rsidRPr="00FB0527">
        <w:rPr>
          <w:rFonts w:ascii="PT Astra Serif" w:eastAsia="Calibri" w:hAnsi="PT Astra Serif" w:cs="Times New Roman"/>
          <w:bCs/>
          <w:sz w:val="24"/>
          <w:szCs w:val="28"/>
        </w:rPr>
        <w:t>.р</w:t>
      </w:r>
      <w:proofErr w:type="gramEnd"/>
      <w:r w:rsidRPr="00FB0527">
        <w:rPr>
          <w:rFonts w:ascii="PT Astra Serif" w:eastAsia="Calibri" w:hAnsi="PT Astra Serif" w:cs="Times New Roman"/>
          <w:bCs/>
          <w:sz w:val="24"/>
          <w:szCs w:val="28"/>
        </w:rPr>
        <w:t>уб.; в 2024г.-</w:t>
      </w:r>
      <w:r w:rsidRPr="00FB0527">
        <w:rPr>
          <w:rFonts w:ascii="PT Astra Serif" w:eastAsia="Calibri" w:hAnsi="PT Astra Serif" w:cs="Times New Roman"/>
          <w:b/>
          <w:bCs/>
          <w:sz w:val="24"/>
          <w:szCs w:val="28"/>
        </w:rPr>
        <w:t xml:space="preserve">69,9 </w:t>
      </w:r>
      <w:r w:rsidRPr="00FB0527">
        <w:rPr>
          <w:rFonts w:ascii="PT Astra Serif" w:eastAsia="Calibri" w:hAnsi="PT Astra Serif" w:cs="Times New Roman"/>
          <w:bCs/>
          <w:sz w:val="24"/>
          <w:szCs w:val="28"/>
        </w:rPr>
        <w:t>тыс.руб., в 2025г.-</w:t>
      </w:r>
      <w:r w:rsidRPr="00FB0527">
        <w:rPr>
          <w:rFonts w:ascii="PT Astra Serif" w:eastAsia="Calibri" w:hAnsi="PT Astra Serif" w:cs="Times New Roman"/>
          <w:b/>
          <w:bCs/>
          <w:sz w:val="24"/>
          <w:szCs w:val="28"/>
        </w:rPr>
        <w:t>74,0</w:t>
      </w:r>
      <w:r w:rsidRPr="00FB0527">
        <w:rPr>
          <w:rFonts w:ascii="PT Astra Serif" w:eastAsia="Calibri" w:hAnsi="PT Astra Serif" w:cs="Times New Roman"/>
          <w:bCs/>
          <w:sz w:val="24"/>
          <w:szCs w:val="28"/>
        </w:rPr>
        <w:t xml:space="preserve"> тыс.руб.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.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-субвенция бюджетам сельских поселений на осуществление первичного воинского учета на       территориях, где отсутствуют военные комиссариаты  на 2023  год 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– 0,0   </w:t>
      </w:r>
      <w:proofErr w:type="spellStart"/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уб</w:t>
      </w:r>
      <w:proofErr w:type="spellEnd"/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; </w:t>
      </w:r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 2024г.-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0,0 тыс.руб.., </w:t>
      </w:r>
      <w:r w:rsidRPr="00FB0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 2025г.-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0,0 тыс.руб.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  <w:r w:rsidRPr="00FB0527">
        <w:rPr>
          <w:rFonts w:ascii="PT Astra Serif" w:eastAsia="Calibri" w:hAnsi="PT Astra Serif" w:cs="Times New Roman"/>
          <w:sz w:val="24"/>
          <w:szCs w:val="28"/>
        </w:rPr>
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Pr="00FB0527">
        <w:rPr>
          <w:rFonts w:ascii="PT Astra Serif" w:eastAsia="Times New Roman" w:hAnsi="PT Astra Serif" w:cs="Times New Roman"/>
          <w:szCs w:val="24"/>
          <w:lang w:eastAsia="ru-RU"/>
        </w:rPr>
        <w:t xml:space="preserve"> на 2023г.-</w:t>
      </w:r>
      <w:r w:rsidRPr="00FB0527">
        <w:rPr>
          <w:rFonts w:ascii="PT Astra Serif" w:eastAsia="Times New Roman" w:hAnsi="PT Astra Serif" w:cs="Times New Roman"/>
          <w:b/>
          <w:szCs w:val="24"/>
          <w:u w:val="single"/>
          <w:lang w:eastAsia="ru-RU"/>
        </w:rPr>
        <w:t>3453,0</w:t>
      </w:r>
      <w:r w:rsidRPr="00FB0527">
        <w:rPr>
          <w:rFonts w:ascii="PT Astra Serif" w:eastAsia="Times New Roman" w:hAnsi="PT Astra Serif" w:cs="Times New Roman"/>
          <w:b/>
          <w:szCs w:val="24"/>
          <w:lang w:eastAsia="ru-RU"/>
        </w:rPr>
        <w:t xml:space="preserve"> тыс. </w:t>
      </w:r>
      <w:proofErr w:type="spellStart"/>
      <w:r w:rsidRPr="00FB0527">
        <w:rPr>
          <w:rFonts w:ascii="PT Astra Serif" w:eastAsia="Times New Roman" w:hAnsi="PT Astra Serif" w:cs="Times New Roman"/>
          <w:b/>
          <w:szCs w:val="24"/>
          <w:lang w:eastAsia="ru-RU"/>
        </w:rPr>
        <w:t>руб</w:t>
      </w:r>
      <w:proofErr w:type="spellEnd"/>
      <w:r w:rsidRPr="00FB0527">
        <w:rPr>
          <w:rFonts w:ascii="PT Astra Serif" w:eastAsia="Times New Roman" w:hAnsi="PT Astra Serif" w:cs="Times New Roman"/>
          <w:szCs w:val="24"/>
          <w:lang w:eastAsia="ru-RU"/>
        </w:rPr>
        <w:t>; на 2024г.-</w:t>
      </w:r>
      <w:r w:rsidRPr="00FB0527">
        <w:rPr>
          <w:rFonts w:ascii="PT Astra Serif" w:eastAsia="Times New Roman" w:hAnsi="PT Astra Serif" w:cs="Times New Roman"/>
          <w:b/>
          <w:szCs w:val="24"/>
          <w:lang w:eastAsia="ru-RU"/>
        </w:rPr>
        <w:t>0,0</w:t>
      </w:r>
      <w:r w:rsidRPr="00FB0527">
        <w:rPr>
          <w:rFonts w:ascii="PT Astra Serif" w:eastAsia="Times New Roman" w:hAnsi="PT Astra Serif" w:cs="Times New Roman"/>
          <w:szCs w:val="24"/>
          <w:lang w:eastAsia="ru-RU"/>
        </w:rPr>
        <w:t xml:space="preserve"> тыс</w:t>
      </w:r>
      <w:proofErr w:type="gramStart"/>
      <w:r w:rsidRPr="00FB0527">
        <w:rPr>
          <w:rFonts w:ascii="PT Astra Serif" w:eastAsia="Times New Roman" w:hAnsi="PT Astra Serif" w:cs="Times New Roman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Cs w:val="24"/>
          <w:lang w:eastAsia="ru-RU"/>
        </w:rPr>
        <w:t>уб., на 2025г.-</w:t>
      </w:r>
      <w:r w:rsidRPr="00FB0527">
        <w:rPr>
          <w:rFonts w:ascii="PT Astra Serif" w:eastAsia="Times New Roman" w:hAnsi="PT Astra Serif" w:cs="Times New Roman"/>
          <w:b/>
          <w:szCs w:val="24"/>
          <w:lang w:eastAsia="ru-RU"/>
        </w:rPr>
        <w:t>0,0</w:t>
      </w:r>
      <w:r w:rsidRPr="00FB0527">
        <w:rPr>
          <w:rFonts w:ascii="PT Astra Serif" w:eastAsia="Times New Roman" w:hAnsi="PT Astra Serif" w:cs="Times New Roman"/>
          <w:szCs w:val="24"/>
          <w:lang w:eastAsia="ru-RU"/>
        </w:rPr>
        <w:t xml:space="preserve"> тыс.руб.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2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ИТОГО Безвозмездные поступления составят: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2023  год – 3519,8  тыс. руб.;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 2024год-69,9тыс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уб.;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2025год-74 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ВСЕГО ДОХОДНАЯ ЧАСТЬ составит: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2023 год – 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 xml:space="preserve">7005,6  </w:t>
      </w:r>
      <w:proofErr w:type="spell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уб</w:t>
      </w:r>
      <w:proofErr w:type="spell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;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   2024год-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3679,9 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уб.;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  2025год-</w:t>
      </w:r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3798,8 тыс</w:t>
      </w:r>
      <w:proofErr w:type="gramStart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уб.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8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36"/>
          <w:szCs w:val="28"/>
          <w:u w:val="single"/>
          <w:lang w:eastAsia="ru-RU"/>
        </w:rPr>
        <w:t>Расходная часть бюджета Соцземледельского МО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8"/>
          <w:szCs w:val="24"/>
          <w:lang w:eastAsia="ru-RU"/>
        </w:rPr>
        <w:t>Общий объем расходных обязатель</w:t>
      </w:r>
      <w:proofErr w:type="gramStart"/>
      <w:r w:rsidRPr="00FB0527">
        <w:rPr>
          <w:rFonts w:ascii="PT Astra Serif" w:eastAsia="Times New Roman" w:hAnsi="PT Astra Serif" w:cs="Times New Roman"/>
          <w:sz w:val="28"/>
          <w:szCs w:val="24"/>
          <w:lang w:eastAsia="ru-RU"/>
        </w:rPr>
        <w:t>ств в пр</w:t>
      </w:r>
      <w:proofErr w:type="gramEnd"/>
      <w:r w:rsidRPr="00FB0527">
        <w:rPr>
          <w:rFonts w:ascii="PT Astra Serif" w:eastAsia="Times New Roman" w:hAnsi="PT Astra Serif" w:cs="Times New Roman"/>
          <w:sz w:val="28"/>
          <w:szCs w:val="24"/>
          <w:lang w:eastAsia="ru-RU"/>
        </w:rPr>
        <w:t>оекте бюджета Соцземледельского МО на 2023-2025 годы прогнозируется в размере;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sz w:val="32"/>
          <w:szCs w:val="24"/>
          <w:u w:val="single"/>
          <w:lang w:eastAsia="ru-RU"/>
        </w:rPr>
        <w:t xml:space="preserve">2023г.-   </w:t>
      </w:r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7005,6 тыс</w:t>
      </w:r>
      <w:proofErr w:type="gramStart"/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уб.;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sz w:val="32"/>
          <w:szCs w:val="24"/>
          <w:u w:val="single"/>
          <w:lang w:eastAsia="ru-RU"/>
        </w:rPr>
        <w:t>2024г.</w:t>
      </w:r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-3585,9 тыс</w:t>
      </w:r>
      <w:proofErr w:type="gramStart"/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уб.;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sz w:val="32"/>
          <w:szCs w:val="24"/>
          <w:u w:val="single"/>
          <w:lang w:eastAsia="ru-RU"/>
        </w:rPr>
        <w:t>2025г.</w:t>
      </w:r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-3606,9 тыс</w:t>
      </w:r>
      <w:proofErr w:type="gramStart"/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уб.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FB0527">
        <w:rPr>
          <w:rFonts w:ascii="PT Astra Serif" w:eastAsia="Times New Roman" w:hAnsi="PT Astra Serif" w:cs="Times New Roman"/>
          <w:b/>
          <w:bCs/>
          <w:i/>
          <w:iCs/>
          <w:sz w:val="28"/>
          <w:szCs w:val="24"/>
          <w:u w:val="single"/>
          <w:lang w:eastAsia="ru-RU"/>
        </w:rPr>
        <w:t>Дефицит бюджета составляет:</w:t>
      </w:r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0 тыс</w:t>
      </w:r>
      <w:proofErr w:type="gramStart"/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уб. (доходы-расходы)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Средства бюджета распределены по соответствующим разделам.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в проекте бюджета Соцземледельского  МО на 2023-2025 годы предусмотрены следующие расходы: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0"/>
        <w:gridCol w:w="2247"/>
        <w:gridCol w:w="1902"/>
        <w:gridCol w:w="1902"/>
      </w:tblGrid>
      <w:tr w:rsidR="00FB0527" w:rsidRPr="00FB0527" w:rsidTr="00FB0527">
        <w:trPr>
          <w:trHeight w:val="560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FB0527">
        <w:trPr>
          <w:trHeight w:val="1414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нужд. На содержание должностного лица органов местного самоуправления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924,0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924,0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924,0</w:t>
            </w:r>
          </w:p>
        </w:tc>
      </w:tr>
      <w:tr w:rsidR="00FB0527" w:rsidRPr="00FB0527" w:rsidTr="00FB0527">
        <w:trPr>
          <w:trHeight w:val="1134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нужд. На содержание администрации  органов местного самоуправления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1 376,1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1 376,1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1 376,1</w:t>
            </w:r>
          </w:p>
        </w:tc>
      </w:tr>
      <w:tr w:rsidR="00FB0527" w:rsidRPr="00FB0527" w:rsidTr="00FB0527">
        <w:trPr>
          <w:trHeight w:val="280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администрации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106,5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275,3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225,3</w:t>
            </w:r>
          </w:p>
        </w:tc>
      </w:tr>
      <w:tr w:rsidR="00FB0527" w:rsidRPr="00FB0527" w:rsidTr="00FB0527">
        <w:trPr>
          <w:trHeight w:val="574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0,6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0,6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0,6</w:t>
            </w:r>
          </w:p>
        </w:tc>
      </w:tr>
      <w:tr w:rsidR="00FB0527" w:rsidRPr="00FB0527" w:rsidTr="00FB0527">
        <w:trPr>
          <w:trHeight w:val="574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транспортный налог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10,0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</w:tr>
      <w:tr w:rsidR="00FB0527" w:rsidRPr="00FB0527" w:rsidTr="00FB0527">
        <w:trPr>
          <w:trHeight w:val="280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Другие общегосударственные вопросы                        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154,5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1,5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1,5</w:t>
            </w:r>
          </w:p>
        </w:tc>
      </w:tr>
      <w:tr w:rsidR="00FB0527" w:rsidRPr="00FB0527" w:rsidTr="00FB0527">
        <w:trPr>
          <w:trHeight w:val="293"/>
        </w:trPr>
        <w:tc>
          <w:tcPr>
            <w:tcW w:w="392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4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2562,7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2587,5</w:t>
            </w:r>
          </w:p>
        </w:tc>
        <w:tc>
          <w:tcPr>
            <w:tcW w:w="190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2528,5</w:t>
            </w:r>
          </w:p>
        </w:tc>
      </w:tr>
    </w:tbl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 разделу 0113 «Муниципальные программы» предусмотрены 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расходы:</w:t>
      </w: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0"/>
        <w:gridCol w:w="2011"/>
        <w:gridCol w:w="1776"/>
        <w:gridCol w:w="1776"/>
      </w:tblGrid>
      <w:tr w:rsidR="00FB0527" w:rsidRPr="00FB0527" w:rsidTr="00E7777E">
        <w:tc>
          <w:tcPr>
            <w:tcW w:w="4546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338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E7777E">
        <w:tc>
          <w:tcPr>
            <w:tcW w:w="4546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 Соцземледельского МО на 2022-2024 </w:t>
            </w:r>
            <w:proofErr w:type="spellStart"/>
            <w:proofErr w:type="gramStart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38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FB0527" w:rsidRPr="00FB0527" w:rsidTr="00E7777E">
        <w:tc>
          <w:tcPr>
            <w:tcW w:w="4546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Муниципальная программа «Развитие субъектов малого и среднего предпринимательства на территории Соцземледельского МО на 2022-2024 </w:t>
            </w:r>
            <w:proofErr w:type="spellStart"/>
            <w:proofErr w:type="gramStart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38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FB0527" w:rsidRPr="00FB0527" w:rsidTr="00E7777E">
        <w:tc>
          <w:tcPr>
            <w:tcW w:w="4546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Муниципальная программа «Противодействие коррупции в администрации Соцземледельского МО на 2022-2024г.г.»</w:t>
            </w:r>
          </w:p>
        </w:tc>
        <w:tc>
          <w:tcPr>
            <w:tcW w:w="2338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FB0527" w:rsidRPr="00FB0527" w:rsidTr="00E7777E">
        <w:tc>
          <w:tcPr>
            <w:tcW w:w="4546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8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98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6,2</w:t>
            </w:r>
          </w:p>
        </w:tc>
      </w:tr>
    </w:tbl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По разделу 0200 «Национальная оборона»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предусмотрены Федеральные средства в на осуществление полномочий по первичному  воинскому учету в 2023 г. в сумме-</w:t>
      </w:r>
      <w:r w:rsidRPr="00FB052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 0,0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уб.;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в 2024 г. в сумме-</w:t>
      </w:r>
      <w:r w:rsidRPr="00FB052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 0,0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уб. в 2025 г. в сумме-</w:t>
      </w:r>
      <w:r w:rsidRPr="00FB052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 0,0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тыс.руб.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разделу 0300 «Национальная безопасность и правоохранительная деятельность»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предусмотрены расходы: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2"/>
        <w:gridCol w:w="2150"/>
        <w:gridCol w:w="1846"/>
        <w:gridCol w:w="1846"/>
      </w:tblGrid>
      <w:tr w:rsidR="00FB0527" w:rsidRPr="00FB0527" w:rsidTr="00FB0527">
        <w:trPr>
          <w:trHeight w:val="583"/>
        </w:trPr>
        <w:tc>
          <w:tcPr>
            <w:tcW w:w="4102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50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2023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846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846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FB0527">
        <w:trPr>
          <w:trHeight w:val="1471"/>
        </w:trPr>
        <w:tc>
          <w:tcPr>
            <w:tcW w:w="4102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 Соцземледельского  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образования на 2023-2025г. г.»</w:t>
            </w:r>
          </w:p>
        </w:tc>
        <w:tc>
          <w:tcPr>
            <w:tcW w:w="215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FB0527" w:rsidRPr="00FB0527" w:rsidTr="00FB0527">
        <w:trPr>
          <w:trHeight w:val="305"/>
        </w:trPr>
        <w:tc>
          <w:tcPr>
            <w:tcW w:w="4102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50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</w:tbl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разделу0400 «Национальная экономика»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предусмотрены</w:t>
      </w:r>
      <w:proofErr w:type="gramEnd"/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расходы: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9"/>
        <w:gridCol w:w="2617"/>
        <w:gridCol w:w="2062"/>
        <w:gridCol w:w="963"/>
      </w:tblGrid>
      <w:tr w:rsidR="00FB0527" w:rsidRPr="00FB0527" w:rsidTr="00FB0527">
        <w:tc>
          <w:tcPr>
            <w:tcW w:w="413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17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062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963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FB0527">
        <w:tc>
          <w:tcPr>
            <w:tcW w:w="413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61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206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963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FB0527" w:rsidRPr="00FB0527" w:rsidTr="00FB0527">
        <w:tc>
          <w:tcPr>
            <w:tcW w:w="413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</w:t>
            </w:r>
            <w:r w:rsidRPr="00FB052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за счёт</w:t>
            </w: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средств местного бюджета на 2023 год.</w:t>
            </w:r>
          </w:p>
        </w:tc>
        <w:tc>
          <w:tcPr>
            <w:tcW w:w="261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206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963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FB0527" w:rsidRPr="00FB0527" w:rsidTr="00FB0527">
        <w:tc>
          <w:tcPr>
            <w:tcW w:w="413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 местного значения в границах населенных пунктов поселения за счёт акцизов  на 2023 год</w:t>
            </w:r>
          </w:p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923,7</w:t>
            </w:r>
          </w:p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960,6</w:t>
            </w:r>
          </w:p>
        </w:tc>
        <w:tc>
          <w:tcPr>
            <w:tcW w:w="963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999,0</w:t>
            </w:r>
          </w:p>
        </w:tc>
      </w:tr>
      <w:tr w:rsidR="00FB0527" w:rsidRPr="00FB0527" w:rsidTr="00FB0527">
        <w:tc>
          <w:tcPr>
            <w:tcW w:w="413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общего пользования местного значения в границах населенных пунктов сельских поселений за счёт средств областного дорожного фонда  </w:t>
            </w:r>
          </w:p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3 453,0</w:t>
            </w:r>
          </w:p>
        </w:tc>
        <w:tc>
          <w:tcPr>
            <w:tcW w:w="2062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963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FB0527" w:rsidRPr="00FB0527" w:rsidTr="00FB0527">
        <w:tc>
          <w:tcPr>
            <w:tcW w:w="413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17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            4377,7</w:t>
            </w:r>
          </w:p>
        </w:tc>
        <w:tc>
          <w:tcPr>
            <w:tcW w:w="2062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963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1009,0</w:t>
            </w:r>
          </w:p>
        </w:tc>
      </w:tr>
    </w:tbl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разделу 0500 «Жилищно-коммунальное хозяйство»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предусмотрены</w:t>
      </w:r>
      <w:proofErr w:type="gramEnd"/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расходы: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5"/>
        <w:gridCol w:w="2070"/>
        <w:gridCol w:w="1776"/>
        <w:gridCol w:w="1776"/>
      </w:tblGrid>
      <w:tr w:rsidR="00FB0527" w:rsidRPr="00FB0527" w:rsidTr="00FB0527">
        <w:trPr>
          <w:trHeight w:val="150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FB0527">
        <w:trPr>
          <w:trHeight w:val="150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4,0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10,0</w:t>
            </w:r>
          </w:p>
        </w:tc>
      </w:tr>
      <w:tr w:rsidR="00FB0527" w:rsidRPr="00FB0527" w:rsidTr="00FB0527">
        <w:trPr>
          <w:trHeight w:val="150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6,0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8,0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8,0</w:t>
            </w:r>
          </w:p>
        </w:tc>
      </w:tr>
      <w:tr w:rsidR="00FB0527" w:rsidRPr="00FB0527" w:rsidTr="00FB0527">
        <w:trPr>
          <w:trHeight w:val="1147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 и озеленение территорий Соцземледельского МО на 2022-2024 </w:t>
            </w:r>
            <w:proofErr w:type="spellStart"/>
            <w:proofErr w:type="gramStart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FB0527" w:rsidRPr="00FB0527" w:rsidTr="00FB0527">
        <w:trPr>
          <w:trHeight w:val="1430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на территории Соцземледельского МО на 2023-2027г.г.».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FB0527" w:rsidRPr="00FB0527" w:rsidTr="00FB0527">
        <w:trPr>
          <w:trHeight w:val="283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1,1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6,5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6,5</w:t>
            </w:r>
          </w:p>
        </w:tc>
      </w:tr>
      <w:tr w:rsidR="00FB0527" w:rsidRPr="00FB0527" w:rsidTr="00FB0527">
        <w:trPr>
          <w:trHeight w:val="283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3,7</w:t>
            </w:r>
          </w:p>
        </w:tc>
      </w:tr>
      <w:tr w:rsidR="00FB0527" w:rsidRPr="00FB0527" w:rsidTr="00FB0527">
        <w:trPr>
          <w:trHeight w:val="850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Муниципальная программа «Улучшение водоснабжения на территории Соцземледельского МО в 2023 г.»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FB0527" w:rsidRPr="00FB0527" w:rsidTr="00FB0527">
        <w:trPr>
          <w:trHeight w:val="296"/>
        </w:trPr>
        <w:tc>
          <w:tcPr>
            <w:tcW w:w="3945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0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76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43,2</w:t>
            </w:r>
          </w:p>
        </w:tc>
      </w:tr>
    </w:tbl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Предоставление межбюджетных трансфертов бюджету </w:t>
      </w:r>
      <w:proofErr w:type="gramStart"/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района в соответствии с заключенными соглашениями: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1957"/>
        <w:gridCol w:w="1755"/>
        <w:gridCol w:w="1755"/>
      </w:tblGrid>
      <w:tr w:rsidR="00FB0527" w:rsidRPr="00FB0527" w:rsidTr="00E7777E">
        <w:tc>
          <w:tcPr>
            <w:tcW w:w="478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1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E7777E">
        <w:tc>
          <w:tcPr>
            <w:tcW w:w="478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внешнего муниципального контроля Контрольно-счетной комиссии Балашовского МР</w:t>
            </w:r>
          </w:p>
        </w:tc>
        <w:tc>
          <w:tcPr>
            <w:tcW w:w="221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4,0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FB0527" w:rsidRPr="00FB0527" w:rsidTr="00E7777E">
        <w:tc>
          <w:tcPr>
            <w:tcW w:w="478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Исполнение полномочий по осуществлению внутреннего контроля</w:t>
            </w:r>
          </w:p>
        </w:tc>
        <w:tc>
          <w:tcPr>
            <w:tcW w:w="221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32,8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FB0527" w:rsidRPr="00FB0527" w:rsidTr="00E7777E">
        <w:tc>
          <w:tcPr>
            <w:tcW w:w="478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221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2,0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FB0527" w:rsidRPr="00FB0527" w:rsidTr="00E7777E">
        <w:tc>
          <w:tcPr>
            <w:tcW w:w="478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21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</w:tr>
      <w:tr w:rsidR="00FB0527" w:rsidRPr="00FB0527" w:rsidTr="00E7777E">
        <w:tc>
          <w:tcPr>
            <w:tcW w:w="478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3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</w:tbl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разделу 10 00» Социальная политика»</w:t>
      </w:r>
      <w:r w:rsidRPr="00FB0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предусмотрены расходы: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1886"/>
        <w:gridCol w:w="1876"/>
        <w:gridCol w:w="1876"/>
      </w:tblGrid>
      <w:tr w:rsidR="00FB0527" w:rsidRPr="00FB0527" w:rsidTr="00E7777E">
        <w:tc>
          <w:tcPr>
            <w:tcW w:w="447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4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2023  год</w:t>
            </w:r>
          </w:p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FB0527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  <w:r w:rsidRPr="00FB0527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7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077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E7777E">
        <w:tc>
          <w:tcPr>
            <w:tcW w:w="447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Доплаты к пенсии муниципальным  служащим </w:t>
            </w:r>
          </w:p>
        </w:tc>
        <w:tc>
          <w:tcPr>
            <w:tcW w:w="224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14,0</w:t>
            </w:r>
          </w:p>
        </w:tc>
        <w:tc>
          <w:tcPr>
            <w:tcW w:w="207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14,0</w:t>
            </w:r>
          </w:p>
        </w:tc>
        <w:tc>
          <w:tcPr>
            <w:tcW w:w="207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14,0</w:t>
            </w:r>
          </w:p>
        </w:tc>
      </w:tr>
      <w:tr w:rsidR="00FB0527" w:rsidRPr="00FB0527" w:rsidTr="00E7777E">
        <w:tc>
          <w:tcPr>
            <w:tcW w:w="4477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49" w:type="dxa"/>
            <w:shd w:val="clear" w:color="auto" w:fill="auto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07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077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14,0</w:t>
            </w:r>
          </w:p>
        </w:tc>
      </w:tr>
    </w:tbl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FB0527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ИТОГО:</w:t>
      </w:r>
    </w:p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191"/>
        <w:gridCol w:w="1879"/>
        <w:gridCol w:w="1879"/>
      </w:tblGrid>
      <w:tr w:rsidR="00FB0527" w:rsidRPr="00FB0527" w:rsidTr="00FB0527">
        <w:trPr>
          <w:trHeight w:val="573"/>
        </w:trPr>
        <w:tc>
          <w:tcPr>
            <w:tcW w:w="3618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91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87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879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  год (тыс</w:t>
            </w:r>
            <w:proofErr w:type="gramStart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FB0527" w:rsidRPr="00FB0527" w:rsidTr="00FB0527">
        <w:trPr>
          <w:trHeight w:val="273"/>
        </w:trPr>
        <w:tc>
          <w:tcPr>
            <w:tcW w:w="3618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РАСХОДНАЯ ЧАСТЬ  </w:t>
            </w:r>
          </w:p>
        </w:tc>
        <w:tc>
          <w:tcPr>
            <w:tcW w:w="2191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  <w:t>7005,6</w:t>
            </w:r>
          </w:p>
        </w:tc>
        <w:tc>
          <w:tcPr>
            <w:tcW w:w="1879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  <w:t>3585,9</w:t>
            </w:r>
          </w:p>
        </w:tc>
        <w:tc>
          <w:tcPr>
            <w:tcW w:w="1879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  <w:t>3606,9</w:t>
            </w:r>
          </w:p>
        </w:tc>
      </w:tr>
      <w:tr w:rsidR="00FB0527" w:rsidRPr="00FB0527" w:rsidTr="00FB0527">
        <w:trPr>
          <w:trHeight w:val="286"/>
        </w:trPr>
        <w:tc>
          <w:tcPr>
            <w:tcW w:w="3618" w:type="dxa"/>
          </w:tcPr>
          <w:p w:rsidR="00FB0527" w:rsidRPr="00FB0527" w:rsidRDefault="00FB0527" w:rsidP="00E77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ДЕФИЦИТ БЮДЖЕТА </w:t>
            </w:r>
          </w:p>
        </w:tc>
        <w:tc>
          <w:tcPr>
            <w:tcW w:w="2191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  <w:t xml:space="preserve">        0,0</w:t>
            </w:r>
          </w:p>
        </w:tc>
        <w:tc>
          <w:tcPr>
            <w:tcW w:w="1879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879" w:type="dxa"/>
          </w:tcPr>
          <w:p w:rsidR="00FB0527" w:rsidRPr="00FB0527" w:rsidRDefault="00FB0527" w:rsidP="00E77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</w:pPr>
            <w:r w:rsidRPr="00FB0527"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  <w:t>0,0</w:t>
            </w:r>
          </w:p>
        </w:tc>
      </w:tr>
    </w:tbl>
    <w:p w:rsidR="00FB0527" w:rsidRPr="00FB0527" w:rsidRDefault="00FB0527" w:rsidP="00FB052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B0527" w:rsidRPr="00FB0527" w:rsidRDefault="00FB0527" w:rsidP="00FB0527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044AF" w:rsidRPr="00FB0527" w:rsidRDefault="006044AF">
      <w:pPr>
        <w:rPr>
          <w:rFonts w:ascii="PT Astra Serif" w:hAnsi="PT Astra Serif"/>
        </w:rPr>
      </w:pPr>
    </w:p>
    <w:sectPr w:rsidR="006044AF" w:rsidRPr="00FB0527" w:rsidSect="006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0B29F58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F666B"/>
    <w:multiLevelType w:val="hybridMultilevel"/>
    <w:tmpl w:val="BD4C84D8"/>
    <w:lvl w:ilvl="0" w:tplc="6B2032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0527"/>
    <w:rsid w:val="006044AF"/>
    <w:rsid w:val="00F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2022-11-14T11:13:00Z</dcterms:created>
  <dcterms:modified xsi:type="dcterms:W3CDTF">2022-11-14T11:16:00Z</dcterms:modified>
</cp:coreProperties>
</file>